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CB224" w14:textId="77777777" w:rsidR="0015033C" w:rsidRPr="00063E0D" w:rsidRDefault="0015033C" w:rsidP="0015033C">
      <w:pPr>
        <w:rPr>
          <w:kern w:val="2"/>
        </w:rPr>
      </w:pPr>
      <w:bookmarkStart w:id="0" w:name="_Toc303331445"/>
      <w:r w:rsidRPr="00063E0D">
        <w:rPr>
          <w:noProof/>
          <w:kern w:val="2"/>
          <w:lang w:eastAsia="en-AU"/>
        </w:rPr>
        <mc:AlternateContent>
          <mc:Choice Requires="wps">
            <w:drawing>
              <wp:anchor distT="0" distB="0" distL="114300" distR="114300" simplePos="0" relativeHeight="251663360" behindDoc="0" locked="0" layoutInCell="1" allowOverlap="1" wp14:anchorId="445B8AB1" wp14:editId="06E48E6F">
                <wp:simplePos x="0" y="0"/>
                <wp:positionH relativeFrom="column">
                  <wp:posOffset>4687261</wp:posOffset>
                </wp:positionH>
                <wp:positionV relativeFrom="paragraph">
                  <wp:posOffset>190877</wp:posOffset>
                </wp:positionV>
                <wp:extent cx="801934" cy="752084"/>
                <wp:effectExtent l="0" t="0" r="0" b="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FE0B2FB" w14:textId="6004A25B" w:rsidR="00611C7F" w:rsidRPr="002D67BF" w:rsidRDefault="00611C7F" w:rsidP="00611C7F">
                            <w:pPr>
                              <w:spacing w:before="40" w:after="40"/>
                              <w:jc w:val="center"/>
                              <w:rPr>
                                <w:color w:val="FF0000"/>
                                <w:sz w:val="10"/>
                                <w:szCs w:val="10"/>
                              </w:rPr>
                            </w:pPr>
                            <w:r>
                              <w:rPr>
                                <w:noProof/>
                                <w:lang w:val="en-US"/>
                              </w:rPr>
                              <w:drawing>
                                <wp:inline distT="0" distB="0" distL="0" distR="0" wp14:anchorId="2CD55926" wp14:editId="0FC9C35A">
                                  <wp:extent cx="552450" cy="71529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364" cy="858897"/>
                                          </a:xfrm>
                                          <a:prstGeom prst="rect">
                                            <a:avLst/>
                                          </a:prstGeom>
                                          <a:noFill/>
                                          <a:ln>
                                            <a:noFill/>
                                          </a:ln>
                                        </pic:spPr>
                                      </pic:pic>
                                    </a:graphicData>
                                  </a:graphic>
                                </wp:inline>
                              </w:drawing>
                            </w:r>
                          </w:p>
                          <w:p w14:paraId="0458641E" w14:textId="3E1D0FC0" w:rsidR="0015033C" w:rsidRPr="002D67BF" w:rsidRDefault="0015033C" w:rsidP="0015033C">
                            <w:pPr>
                              <w:spacing w:before="40" w:after="40"/>
                              <w:jc w:val="center"/>
                              <w:rPr>
                                <w:color w:val="FF0000"/>
                                <w:sz w:val="10"/>
                                <w:szCs w:val="1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5B8AB1" id="Rectangle 10" o:spid="_x0000_s1026" style="position:absolute;margin-left:369.1pt;margin-top:15.05pt;width:63.15pt;height:59.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" filled="f" stroked="f" strokeweight=".5pt">
                <v:textbox inset="0,0,0,0">
                  <w:txbxContent>
                    <w:p w14:paraId="6FE0B2FB" w14:textId="6004A25B" w:rsidR="00611C7F" w:rsidRPr="002D67BF" w:rsidRDefault="00611C7F" w:rsidP="00611C7F">
                      <w:pPr>
                        <w:spacing w:before="40" w:after="40"/>
                        <w:jc w:val="center"/>
                        <w:rPr>
                          <w:color w:val="FF0000"/>
                          <w:sz w:val="10"/>
                          <w:szCs w:val="10"/>
                        </w:rPr>
                      </w:pPr>
                      <w:r>
                        <w:rPr>
                          <w:noProof/>
                          <w:lang w:val="en-US"/>
                        </w:rPr>
                        <w:drawing>
                          <wp:inline distT="0" distB="0" distL="0" distR="0" wp14:anchorId="2CD55926" wp14:editId="0FC9C35A">
                            <wp:extent cx="552450" cy="71529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3364" cy="858897"/>
                                    </a:xfrm>
                                    <a:prstGeom prst="rect">
                                      <a:avLst/>
                                    </a:prstGeom>
                                    <a:noFill/>
                                    <a:ln>
                                      <a:noFill/>
                                    </a:ln>
                                  </pic:spPr>
                                </pic:pic>
                              </a:graphicData>
                            </a:graphic>
                          </wp:inline>
                        </w:drawing>
                      </w:r>
                    </w:p>
                    <w:p w14:paraId="0458641E" w14:textId="3E1D0FC0" w:rsidR="0015033C" w:rsidRPr="002D67BF" w:rsidRDefault="0015033C" w:rsidP="0015033C">
                      <w:pPr>
                        <w:spacing w:before="40" w:after="40"/>
                        <w:jc w:val="center"/>
                        <w:rPr>
                          <w:color w:val="FF0000"/>
                          <w:sz w:val="10"/>
                          <w:szCs w:val="10"/>
                        </w:rPr>
                      </w:pPr>
                    </w:p>
                  </w:txbxContent>
                </v:textbox>
              </v:rect>
            </w:pict>
          </mc:Fallback>
        </mc:AlternateContent>
      </w:r>
      <w:r w:rsidRPr="00063E0D">
        <w:rPr>
          <w:noProof/>
          <w:kern w:val="2"/>
          <w:lang w:eastAsia="en-AU"/>
        </w:rPr>
        <w:drawing>
          <wp:inline distT="0" distB="0" distL="0" distR="0" wp14:anchorId="0938DB8B" wp14:editId="654B2535">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Pr="00063E0D">
        <w:rPr>
          <w:rStyle w:val="Heading1Char"/>
          <w:noProof/>
          <w:kern w:val="2"/>
          <w:lang w:val="en-AU"/>
        </w:rPr>
        <mc:AlternateContent>
          <mc:Choice Requires="wps">
            <w:drawing>
              <wp:anchor distT="0" distB="0" distL="114300" distR="114300" simplePos="0" relativeHeight="251662336" behindDoc="0" locked="1" layoutInCell="1" allowOverlap="1" wp14:anchorId="0EDF478F" wp14:editId="26C9029B">
                <wp:simplePos x="0" y="0"/>
                <wp:positionH relativeFrom="page">
                  <wp:posOffset>973455</wp:posOffset>
                </wp:positionH>
                <wp:positionV relativeFrom="page">
                  <wp:posOffset>651510</wp:posOffset>
                </wp:positionV>
                <wp:extent cx="3276600" cy="982980"/>
                <wp:effectExtent l="0" t="0" r="0" b="7620"/>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982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EB4F8" w14:textId="5CB7693C" w:rsidR="0015033C" w:rsidRPr="00427143" w:rsidRDefault="00611C7F" w:rsidP="00456B04">
                            <w:pPr>
                              <w:spacing w:after="0"/>
                              <w:rPr>
                                <w:color w:val="FFFFFF" w:themeColor="background1"/>
                                <w:sz w:val="30"/>
                                <w:szCs w:val="30"/>
                              </w:rPr>
                            </w:pPr>
                            <w:r w:rsidRPr="00611C7F">
                              <w:rPr>
                                <w:color w:val="FFFFFF" w:themeColor="background1"/>
                                <w:sz w:val="30"/>
                                <w:szCs w:val="30"/>
                              </w:rPr>
                              <w:t>St Mary MacKillop Primary School</w:t>
                            </w:r>
                          </w:p>
                          <w:p w14:paraId="08E15CC6" w14:textId="77777777" w:rsidR="0015033C" w:rsidRPr="000C66F8" w:rsidRDefault="006B5961" w:rsidP="00456B04">
                            <w:pPr>
                              <w:spacing w:after="0" w:line="440" w:lineRule="exact"/>
                              <w:rPr>
                                <w:rFonts w:ascii="Calibri" w:eastAsia="Calibri" w:hAnsi="Calibri" w:cs="Calibri"/>
                                <w:color w:val="FFFFFF" w:themeColor="background1"/>
                                <w:sz w:val="40"/>
                                <w:szCs w:val="40"/>
                              </w:rPr>
                            </w:pPr>
                            <w:r w:rsidRPr="000C66F8">
                              <w:rPr>
                                <w:rFonts w:ascii="Calibri" w:eastAsia="Calibri" w:hAnsi="Calibri" w:cs="Calibri"/>
                                <w:b/>
                                <w:color w:val="FFFFFF"/>
                                <w:sz w:val="40"/>
                                <w:szCs w:val="40"/>
                              </w:rPr>
                              <w:t>Assessment and Reporting Policy</w:t>
                            </w:r>
                          </w:p>
                          <w:p w14:paraId="48B0C0C4" w14:textId="77777777" w:rsidR="0015033C" w:rsidRPr="00456B04" w:rsidRDefault="0015033C" w:rsidP="0015033C">
                            <w:pPr>
                              <w:rPr>
                                <w:sz w:val="32"/>
                                <w:szCs w:val="32"/>
                                <w:lang w:val="en-US"/>
                              </w:rPr>
                            </w:pP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F478F" id="Rectangle 3" o:spid="_x0000_s1027" style="position:absolute;margin-left:76.65pt;margin-top:51.3pt;width:258pt;height:77.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" filled="f" stroked="f">
                <v:textbox inset="4mm,3mm,2mm,0">
                  <w:txbxContent>
                    <w:p w14:paraId="462EB4F8" w14:textId="5CB7693C" w:rsidR="0015033C" w:rsidRPr="00427143" w:rsidRDefault="00611C7F" w:rsidP="00456B04">
                      <w:pPr>
                        <w:spacing w:after="0"/>
                        <w:rPr>
                          <w:color w:val="FFFFFF" w:themeColor="background1"/>
                          <w:sz w:val="30"/>
                          <w:szCs w:val="30"/>
                        </w:rPr>
                      </w:pPr>
                      <w:r w:rsidRPr="00611C7F">
                        <w:rPr>
                          <w:color w:val="FFFFFF" w:themeColor="background1"/>
                          <w:sz w:val="30"/>
                          <w:szCs w:val="30"/>
                        </w:rPr>
                        <w:t>St Mary MacKillop Primary School</w:t>
                      </w:r>
                    </w:p>
                    <w:p w14:paraId="08E15CC6" w14:textId="77777777" w:rsidR="0015033C" w:rsidRPr="000C66F8" w:rsidRDefault="006B5961" w:rsidP="00456B04">
                      <w:pPr>
                        <w:spacing w:after="0" w:line="440" w:lineRule="exact"/>
                        <w:rPr>
                          <w:rFonts w:ascii="Calibri" w:eastAsia="Calibri" w:hAnsi="Calibri" w:cs="Calibri"/>
                          <w:color w:val="FFFFFF" w:themeColor="background1"/>
                          <w:sz w:val="40"/>
                          <w:szCs w:val="40"/>
                        </w:rPr>
                      </w:pPr>
                      <w:r w:rsidRPr="000C66F8">
                        <w:rPr>
                          <w:rFonts w:ascii="Calibri" w:eastAsia="Calibri" w:hAnsi="Calibri" w:cs="Calibri"/>
                          <w:b/>
                          <w:color w:val="FFFFFF"/>
                          <w:sz w:val="40"/>
                          <w:szCs w:val="40"/>
                        </w:rPr>
                        <w:t>Assessment and Reporting Policy</w:t>
                      </w:r>
                    </w:p>
                    <w:p w14:paraId="48B0C0C4" w14:textId="77777777" w:rsidR="0015033C" w:rsidRPr="00456B04" w:rsidRDefault="0015033C" w:rsidP="0015033C">
                      <w:pPr>
                        <w:rPr>
                          <w:sz w:val="32"/>
                          <w:szCs w:val="32"/>
                          <w:lang w:val="en-US"/>
                        </w:rPr>
                      </w:pPr>
                    </w:p>
                  </w:txbxContent>
                </v:textbox>
                <w10:wrap anchorx="page" anchory="page"/>
                <w10:anchorlock/>
              </v:rect>
            </w:pict>
          </mc:Fallback>
        </mc:AlternateContent>
      </w:r>
      <w:bookmarkEnd w:id="0"/>
    </w:p>
    <w:p w14:paraId="3F477FDF" w14:textId="77777777" w:rsidR="00611C7F" w:rsidRPr="00DE08F9" w:rsidRDefault="00611C7F" w:rsidP="00611C7F">
      <w:pPr>
        <w:spacing w:after="161" w:line="239" w:lineRule="auto"/>
        <w:ind w:right="256" w:hanging="10"/>
        <w:rPr>
          <w:rFonts w:ascii="Calibri" w:eastAsia="Calibri" w:hAnsi="Calibri" w:cs="Calibri"/>
          <w:color w:val="585858"/>
          <w:sz w:val="21"/>
          <w:szCs w:val="21"/>
          <w:lang w:eastAsia="en-AU"/>
        </w:rPr>
      </w:pPr>
      <w:r w:rsidRPr="00694068">
        <w:rPr>
          <w:rFonts w:ascii="Calibri" w:eastAsia="Calibri" w:hAnsi="Calibri" w:cs="Calibri"/>
          <w:color w:val="585858"/>
          <w:sz w:val="21"/>
          <w:szCs w:val="21"/>
          <w:lang w:eastAsia="en-AU"/>
        </w:rPr>
        <w:t xml:space="preserve">St. Mary MacKillop Primary School </w:t>
      </w:r>
      <w:r w:rsidRPr="00DE08F9">
        <w:rPr>
          <w:rFonts w:ascii="Calibri" w:eastAsia="Calibri" w:hAnsi="Calibri" w:cs="Calibri"/>
          <w:color w:val="585858"/>
          <w:sz w:val="21"/>
          <w:szCs w:val="21"/>
          <w:lang w:eastAsia="en-AU"/>
        </w:rPr>
        <w:t>is a school which operates with the consent of the Catholic Archbishop of Melbourne and is owned, operated and governed by Melbourne Archdiocese Catholic Schools Ltd (MACS), where formation and education are based on the principles of Catholic doctrine, and where the teachers are outstanding in true doctrine and uprightness of life.</w:t>
      </w:r>
    </w:p>
    <w:p w14:paraId="3D750AF0" w14:textId="4E985897" w:rsidR="00A3673A" w:rsidRPr="002478FA" w:rsidRDefault="006D4193" w:rsidP="002478FA">
      <w:pPr>
        <w:pStyle w:val="Heading1"/>
        <w:rPr>
          <w:sz w:val="32"/>
        </w:rPr>
      </w:pPr>
      <w:r>
        <w:rPr>
          <w:sz w:val="32"/>
        </w:rPr>
        <w:t>Principles U</w:t>
      </w:r>
      <w:r w:rsidR="0015033C" w:rsidRPr="002478FA">
        <w:rPr>
          <w:sz w:val="32"/>
        </w:rPr>
        <w:t>nderpinni</w:t>
      </w:r>
      <w:r w:rsidR="002130E2" w:rsidRPr="002478FA">
        <w:rPr>
          <w:sz w:val="32"/>
        </w:rPr>
        <w:t xml:space="preserve">ng </w:t>
      </w:r>
      <w:r w:rsidR="00611C7F" w:rsidRPr="00611C7F">
        <w:rPr>
          <w:sz w:val="32"/>
        </w:rPr>
        <w:t>St Mary Mackillop</w:t>
      </w:r>
      <w:r w:rsidR="00611C7F">
        <w:rPr>
          <w:sz w:val="32"/>
        </w:rPr>
        <w:t>’s</w:t>
      </w:r>
      <w:r w:rsidR="002130E2" w:rsidRPr="002478FA">
        <w:rPr>
          <w:sz w:val="32"/>
        </w:rPr>
        <w:t xml:space="preserve"> </w:t>
      </w:r>
      <w:r>
        <w:rPr>
          <w:sz w:val="32"/>
        </w:rPr>
        <w:t>Assessment and R</w:t>
      </w:r>
      <w:r w:rsidR="002130E2" w:rsidRPr="002478FA">
        <w:rPr>
          <w:sz w:val="32"/>
        </w:rPr>
        <w:t>eporting</w:t>
      </w:r>
    </w:p>
    <w:p w14:paraId="4E316AA2" w14:textId="77777777" w:rsidR="0015033C" w:rsidRDefault="00A3673A" w:rsidP="0015033C">
      <w:pPr>
        <w:spacing w:after="5" w:line="269" w:lineRule="auto"/>
        <w:ind w:right="114"/>
        <w:rPr>
          <w:rFonts w:ascii="Calibri" w:eastAsia="Calibri" w:hAnsi="Calibri" w:cs="Calibri"/>
          <w:color w:val="585858"/>
          <w:sz w:val="21"/>
          <w:szCs w:val="21"/>
          <w:lang w:eastAsia="en-AU"/>
        </w:rPr>
      </w:pPr>
      <w:r w:rsidRPr="0015033C">
        <w:rPr>
          <w:rFonts w:ascii="Calibri" w:eastAsia="Calibri" w:hAnsi="Calibri" w:cs="Calibri"/>
          <w:i/>
          <w:color w:val="585858"/>
          <w:sz w:val="21"/>
          <w:szCs w:val="21"/>
          <w:lang w:eastAsia="en-AU"/>
        </w:rPr>
        <w:t>Horizons of Hope</w:t>
      </w:r>
      <w:r w:rsidRPr="0015033C">
        <w:rPr>
          <w:rFonts w:ascii="Calibri" w:eastAsia="Calibri" w:hAnsi="Calibri" w:cs="Calibri"/>
          <w:color w:val="585858"/>
          <w:sz w:val="21"/>
          <w:szCs w:val="21"/>
          <w:lang w:eastAsia="en-AU"/>
        </w:rPr>
        <w:t xml:space="preserve"> identif</w:t>
      </w:r>
      <w:r w:rsidR="006025C0">
        <w:rPr>
          <w:rFonts w:ascii="Calibri" w:eastAsia="Calibri" w:hAnsi="Calibri" w:cs="Calibri"/>
          <w:color w:val="585858"/>
          <w:sz w:val="21"/>
          <w:szCs w:val="21"/>
          <w:lang w:eastAsia="en-AU"/>
        </w:rPr>
        <w:t xml:space="preserve">ies the following principles </w:t>
      </w:r>
      <w:r w:rsidR="001C3012">
        <w:rPr>
          <w:rFonts w:ascii="Calibri" w:eastAsia="Calibri" w:hAnsi="Calibri" w:cs="Calibri"/>
          <w:color w:val="585858"/>
          <w:sz w:val="21"/>
          <w:szCs w:val="21"/>
          <w:lang w:eastAsia="en-AU"/>
        </w:rPr>
        <w:t>for</w:t>
      </w:r>
      <w:r w:rsidRPr="0015033C">
        <w:rPr>
          <w:rFonts w:ascii="Calibri" w:eastAsia="Calibri" w:hAnsi="Calibri" w:cs="Calibri"/>
          <w:color w:val="585858"/>
          <w:sz w:val="21"/>
          <w:szCs w:val="21"/>
          <w:lang w:eastAsia="en-AU"/>
        </w:rPr>
        <w:t xml:space="preserve"> assessment for MACS</w:t>
      </w:r>
      <w:r w:rsidR="0015033C">
        <w:rPr>
          <w:rFonts w:ascii="Calibri" w:eastAsia="Calibri" w:hAnsi="Calibri" w:cs="Calibri"/>
          <w:color w:val="585858"/>
          <w:sz w:val="21"/>
          <w:szCs w:val="21"/>
          <w:lang w:eastAsia="en-AU"/>
        </w:rPr>
        <w:t xml:space="preserve"> s</w:t>
      </w:r>
      <w:r w:rsidRPr="0015033C">
        <w:rPr>
          <w:rFonts w:ascii="Calibri" w:eastAsia="Calibri" w:hAnsi="Calibri" w:cs="Calibri"/>
          <w:color w:val="585858"/>
          <w:sz w:val="21"/>
          <w:szCs w:val="21"/>
          <w:lang w:eastAsia="en-AU"/>
        </w:rPr>
        <w:t>chools:</w:t>
      </w:r>
    </w:p>
    <w:p w14:paraId="58D4B3B3" w14:textId="77777777" w:rsidR="0015033C" w:rsidRDefault="0015033C" w:rsidP="0015033C">
      <w:pPr>
        <w:pStyle w:val="Heading2"/>
      </w:pPr>
      <w:r w:rsidRPr="0015033C">
        <w:t>Focused on growth</w:t>
      </w:r>
    </w:p>
    <w:p w14:paraId="72FEB49D" w14:textId="77777777" w:rsidR="0015033C" w:rsidRPr="0015033C" w:rsidRDefault="0015033C" w:rsidP="0015033C">
      <w:pPr>
        <w:pStyle w:val="List"/>
        <w:rPr>
          <w:lang w:eastAsia="en-AU"/>
        </w:rPr>
      </w:pPr>
      <w:r w:rsidRPr="0015033C">
        <w:rPr>
          <w:lang w:eastAsia="en-AU"/>
        </w:rPr>
        <w:t>Assessment and reporting will be relevant and timely to each learner</w:t>
      </w:r>
      <w:r w:rsidR="00677362">
        <w:rPr>
          <w:lang w:eastAsia="en-AU"/>
        </w:rPr>
        <w:t>.</w:t>
      </w:r>
    </w:p>
    <w:p w14:paraId="3063DC07" w14:textId="77777777" w:rsidR="0015033C" w:rsidRPr="0015033C" w:rsidRDefault="0015033C" w:rsidP="0015033C">
      <w:pPr>
        <w:pStyle w:val="List"/>
        <w:rPr>
          <w:lang w:eastAsia="en-AU"/>
        </w:rPr>
      </w:pPr>
      <w:r w:rsidRPr="0015033C">
        <w:rPr>
          <w:lang w:eastAsia="en-AU"/>
        </w:rPr>
        <w:t>Students understand their learning progress</w:t>
      </w:r>
      <w:r w:rsidR="00677362">
        <w:rPr>
          <w:lang w:eastAsia="en-AU"/>
        </w:rPr>
        <w:t>.</w:t>
      </w:r>
    </w:p>
    <w:p w14:paraId="01FCCF17" w14:textId="77777777" w:rsidR="0015033C" w:rsidRPr="0015033C" w:rsidRDefault="0015033C" w:rsidP="0015033C">
      <w:pPr>
        <w:pStyle w:val="List"/>
        <w:rPr>
          <w:lang w:eastAsia="en-AU"/>
        </w:rPr>
      </w:pPr>
      <w:r w:rsidRPr="0015033C">
        <w:rPr>
          <w:lang w:eastAsia="en-AU"/>
        </w:rPr>
        <w:t>Students receive feedba</w:t>
      </w:r>
      <w:r w:rsidR="006025C0">
        <w:rPr>
          <w:lang w:eastAsia="en-AU"/>
        </w:rPr>
        <w:t>ck about their challenges while</w:t>
      </w:r>
      <w:r w:rsidRPr="0015033C">
        <w:rPr>
          <w:lang w:eastAsia="en-AU"/>
        </w:rPr>
        <w:t xml:space="preserve"> forming and valuing positive attitudes towards learning</w:t>
      </w:r>
      <w:r w:rsidR="00677362">
        <w:rPr>
          <w:lang w:eastAsia="en-AU"/>
        </w:rPr>
        <w:t>.</w:t>
      </w:r>
    </w:p>
    <w:p w14:paraId="5AA150F6" w14:textId="77777777" w:rsidR="0015033C" w:rsidRPr="0015033C" w:rsidRDefault="0015033C" w:rsidP="0015033C">
      <w:pPr>
        <w:pStyle w:val="List"/>
        <w:rPr>
          <w:lang w:eastAsia="en-AU"/>
        </w:rPr>
      </w:pPr>
      <w:r w:rsidRPr="0015033C">
        <w:rPr>
          <w:lang w:eastAsia="en-AU"/>
        </w:rPr>
        <w:t>Educators critically question the impact of their decisions on student learning</w:t>
      </w:r>
      <w:r w:rsidR="00677362">
        <w:rPr>
          <w:lang w:eastAsia="en-AU"/>
        </w:rPr>
        <w:t>.</w:t>
      </w:r>
    </w:p>
    <w:p w14:paraId="79ABE2A1" w14:textId="77777777" w:rsidR="0015033C" w:rsidRDefault="0015033C" w:rsidP="0015033C">
      <w:pPr>
        <w:pStyle w:val="List"/>
        <w:rPr>
          <w:lang w:eastAsia="en-AU"/>
        </w:rPr>
      </w:pPr>
      <w:r w:rsidRPr="0015033C">
        <w:rPr>
          <w:lang w:eastAsia="en-AU"/>
        </w:rPr>
        <w:t>Feedback is integral to the learning process, enabling students to self-regulate, self-assess and reflect on their own learning</w:t>
      </w:r>
      <w:r w:rsidR="00677362">
        <w:rPr>
          <w:lang w:eastAsia="en-AU"/>
        </w:rPr>
        <w:t>.</w:t>
      </w:r>
    </w:p>
    <w:p w14:paraId="52223598" w14:textId="77777777" w:rsidR="0015033C" w:rsidRDefault="0015033C" w:rsidP="0015033C">
      <w:pPr>
        <w:pStyle w:val="Heading2"/>
      </w:pPr>
      <w:r w:rsidRPr="0015033C">
        <w:t>Relational</w:t>
      </w:r>
    </w:p>
    <w:p w14:paraId="056EF2D8" w14:textId="77777777" w:rsidR="0015033C" w:rsidRPr="0015033C" w:rsidRDefault="0015033C" w:rsidP="0015033C">
      <w:pPr>
        <w:pStyle w:val="List"/>
      </w:pPr>
      <w:r w:rsidRPr="0015033C">
        <w:t>Assessment and reporting will provide a strong foundation for authentic dialogue about learning progress between teachers, students and families</w:t>
      </w:r>
      <w:r w:rsidR="002478FA">
        <w:t>.</w:t>
      </w:r>
    </w:p>
    <w:p w14:paraId="0C670E28" w14:textId="77777777" w:rsidR="0015033C" w:rsidRDefault="0015033C" w:rsidP="0015033C">
      <w:pPr>
        <w:pStyle w:val="List"/>
      </w:pPr>
      <w:r w:rsidRPr="0015033C">
        <w:t xml:space="preserve">Students and teachers are both partners in the learning as the teacher constantly shapes and evolves their practice and pedagogy, while the student </w:t>
      </w:r>
      <w:r w:rsidR="001C3012">
        <w:t>p</w:t>
      </w:r>
      <w:r w:rsidRPr="0015033C">
        <w:t>rogresses in response to evidence</w:t>
      </w:r>
      <w:r w:rsidR="002478FA">
        <w:t xml:space="preserve"> uncovered and timely feedback.</w:t>
      </w:r>
    </w:p>
    <w:p w14:paraId="6896C528" w14:textId="77777777" w:rsidR="0015033C" w:rsidRPr="0015033C" w:rsidRDefault="0015033C" w:rsidP="0015033C">
      <w:pPr>
        <w:pStyle w:val="Heading2"/>
      </w:pPr>
      <w:r w:rsidRPr="0015033C">
        <w:t>Ongoing and continuous</w:t>
      </w:r>
    </w:p>
    <w:p w14:paraId="7B168B4F" w14:textId="77777777" w:rsidR="0015033C" w:rsidRPr="0015033C" w:rsidRDefault="0015033C" w:rsidP="0015033C">
      <w:pPr>
        <w:pStyle w:val="List"/>
      </w:pPr>
      <w:r w:rsidRPr="0015033C">
        <w:t>Teachers are alert to the needs of students, founded on their knowled</w:t>
      </w:r>
      <w:r w:rsidR="006025C0">
        <w:t xml:space="preserve">ge of each student’s </w:t>
      </w:r>
      <w:r w:rsidR="001C3012">
        <w:t>assessment</w:t>
      </w:r>
      <w:r w:rsidR="006025C0">
        <w:t>.</w:t>
      </w:r>
    </w:p>
    <w:p w14:paraId="2AEB589A" w14:textId="77777777" w:rsidR="0015033C" w:rsidRPr="0015033C" w:rsidRDefault="006025C0" w:rsidP="0015033C">
      <w:pPr>
        <w:pStyle w:val="List"/>
      </w:pPr>
      <w:r>
        <w:t>Assessment, feedback and data-</w:t>
      </w:r>
      <w:r w:rsidR="0015033C" w:rsidRPr="0015033C">
        <w:t>gathering techniques are authentic, varied and diverse</w:t>
      </w:r>
      <w:r w:rsidR="00677362">
        <w:t>.</w:t>
      </w:r>
    </w:p>
    <w:p w14:paraId="21B2CC03" w14:textId="77777777" w:rsidR="0015033C" w:rsidRPr="0015033C" w:rsidRDefault="0015033C" w:rsidP="0015033C">
      <w:pPr>
        <w:pStyle w:val="List"/>
      </w:pPr>
      <w:r w:rsidRPr="0015033C">
        <w:t>Assessment of learning is continuous</w:t>
      </w:r>
      <w:r w:rsidR="006025C0">
        <w:t>,</w:t>
      </w:r>
      <w:r w:rsidRPr="0015033C">
        <w:t xml:space="preserve"> allowing students to demonstrate their progress and flourish</w:t>
      </w:r>
      <w:r w:rsidR="00677362">
        <w:t>.</w:t>
      </w:r>
    </w:p>
    <w:p w14:paraId="63494E2D" w14:textId="77777777" w:rsidR="0015033C" w:rsidRPr="0015033C" w:rsidRDefault="0015033C" w:rsidP="0015033C">
      <w:pPr>
        <w:pStyle w:val="List"/>
      </w:pPr>
      <w:r w:rsidRPr="0015033C">
        <w:t>Feedback is continuous, accurate and forward-focused</w:t>
      </w:r>
      <w:r w:rsidR="00677362">
        <w:t>.</w:t>
      </w:r>
    </w:p>
    <w:p w14:paraId="0E49124E" w14:textId="77777777" w:rsidR="00A3673A" w:rsidRPr="002478FA" w:rsidRDefault="002478FA" w:rsidP="00677362">
      <w:pPr>
        <w:pStyle w:val="Heading1"/>
        <w:rPr>
          <w:sz w:val="32"/>
        </w:rPr>
      </w:pPr>
      <w:r w:rsidRPr="002478FA">
        <w:rPr>
          <w:sz w:val="32"/>
        </w:rPr>
        <w:t>Definitions</w:t>
      </w:r>
    </w:p>
    <w:p w14:paraId="244FFAC7" w14:textId="18276087" w:rsidR="00A3673A" w:rsidRPr="0015033C" w:rsidRDefault="00E0536A" w:rsidP="001C3012">
      <w:pPr>
        <w:pStyle w:val="BodyText"/>
        <w:spacing w:after="120"/>
      </w:pPr>
      <w:r>
        <w:rPr>
          <w:b/>
        </w:rPr>
        <w:t>Alternative f</w:t>
      </w:r>
      <w:r w:rsidR="00A3673A" w:rsidRPr="0015033C">
        <w:rPr>
          <w:b/>
        </w:rPr>
        <w:t>ramework</w:t>
      </w:r>
      <w:r w:rsidR="00A3673A" w:rsidRPr="0015033C">
        <w:t xml:space="preserve"> </w:t>
      </w:r>
      <w:r w:rsidR="001C3012" w:rsidRPr="00A3673A">
        <w:rPr>
          <w:lang w:eastAsia="en-AU"/>
        </w:rPr>
        <w:t xml:space="preserve">is any </w:t>
      </w:r>
      <w:r w:rsidR="001C3012">
        <w:rPr>
          <w:lang w:eastAsia="en-AU"/>
        </w:rPr>
        <w:t>accredited</w:t>
      </w:r>
      <w:r w:rsidR="001C3012" w:rsidRPr="00A3673A">
        <w:rPr>
          <w:lang w:eastAsia="en-AU"/>
        </w:rPr>
        <w:t xml:space="preserve"> curriculum framework</w:t>
      </w:r>
      <w:r w:rsidR="001C3012">
        <w:rPr>
          <w:lang w:eastAsia="en-AU"/>
        </w:rPr>
        <w:t xml:space="preserve"> </w:t>
      </w:r>
      <w:r w:rsidR="00E926E6">
        <w:rPr>
          <w:lang w:eastAsia="en-AU"/>
        </w:rPr>
        <w:t xml:space="preserve">as outlined in Appendix 2 of the Catholic Education Commission of Victoria Ltd (CECV) </w:t>
      </w:r>
      <w:hyperlink r:id="rId10" w:history="1">
        <w:r w:rsidR="00E926E6" w:rsidRPr="00F066A8">
          <w:rPr>
            <w:rStyle w:val="Hyperlink"/>
            <w:i/>
            <w:lang w:eastAsia="en-AU"/>
          </w:rPr>
          <w:t>Reporting Student Progress and Achievement: 2022 Revised Guidelines for Victorian Catholic Schools</w:t>
        </w:r>
      </w:hyperlink>
      <w:r w:rsidR="00E926E6">
        <w:rPr>
          <w:lang w:eastAsia="en-AU"/>
        </w:rPr>
        <w:t xml:space="preserve"> where approval has been granted by the governing authority (MACS) and authorisation gained by the relevant authority for delivery in MACS schools, </w:t>
      </w:r>
      <w:r w:rsidR="001C3012">
        <w:rPr>
          <w:lang w:eastAsia="en-AU"/>
        </w:rPr>
        <w:t>such as</w:t>
      </w:r>
      <w:r w:rsidR="001C3012" w:rsidRPr="00A3673A">
        <w:rPr>
          <w:lang w:eastAsia="en-AU"/>
        </w:rPr>
        <w:t xml:space="preserve"> Intern</w:t>
      </w:r>
      <w:r w:rsidR="001C3012">
        <w:rPr>
          <w:lang w:eastAsia="en-AU"/>
        </w:rPr>
        <w:t>ational Baccalaureate programs</w:t>
      </w:r>
      <w:r w:rsidR="002478FA">
        <w:t>.</w:t>
      </w:r>
    </w:p>
    <w:p w14:paraId="2B545FDD" w14:textId="77777777" w:rsidR="00A3673A" w:rsidRPr="0015033C" w:rsidRDefault="00A3673A" w:rsidP="00677362">
      <w:pPr>
        <w:pStyle w:val="BodyText"/>
        <w:spacing w:after="120"/>
      </w:pPr>
      <w:r w:rsidRPr="0015033C">
        <w:rPr>
          <w:b/>
        </w:rPr>
        <w:t>Assessment</w:t>
      </w:r>
      <w:r w:rsidRPr="0015033C">
        <w:t xml:space="preserve"> is the ongoing process of gathering, analysing and interpreting data about learners’ progress and achievement to</w:t>
      </w:r>
      <w:r w:rsidR="002478FA">
        <w:t xml:space="preserve"> improve learning and teaching.</w:t>
      </w:r>
    </w:p>
    <w:p w14:paraId="5EEE6445" w14:textId="77777777" w:rsidR="00A3673A" w:rsidRPr="0015033C" w:rsidRDefault="00A3673A" w:rsidP="00677362">
      <w:pPr>
        <w:pStyle w:val="BodyText"/>
        <w:spacing w:after="120"/>
      </w:pPr>
      <w:r w:rsidRPr="0015033C">
        <w:rPr>
          <w:b/>
        </w:rPr>
        <w:t>Curriculum</w:t>
      </w:r>
      <w:r w:rsidRPr="006025C0">
        <w:rPr>
          <w:b/>
        </w:rPr>
        <w:t xml:space="preserve"> area</w:t>
      </w:r>
      <w:r w:rsidRPr="0015033C">
        <w:t xml:space="preserve"> refers to distinct bodies of knowledge, skills and behaviours within a curriculum framework. In the Victorian Curriculum</w:t>
      </w:r>
      <w:r w:rsidR="00764651">
        <w:t xml:space="preserve"> F–10</w:t>
      </w:r>
      <w:r w:rsidR="006025C0">
        <w:t>,</w:t>
      </w:r>
      <w:r w:rsidRPr="0015033C">
        <w:t xml:space="preserve"> these are known as L</w:t>
      </w:r>
      <w:r w:rsidR="002478FA">
        <w:t>earning Areas and Capabilities.</w:t>
      </w:r>
    </w:p>
    <w:p w14:paraId="7A8993BD" w14:textId="77777777" w:rsidR="00A3673A" w:rsidRPr="0015033C" w:rsidRDefault="00A3673A" w:rsidP="00677362">
      <w:pPr>
        <w:pStyle w:val="BodyText"/>
        <w:spacing w:after="120"/>
      </w:pPr>
      <w:r w:rsidRPr="0015033C">
        <w:rPr>
          <w:b/>
        </w:rPr>
        <w:lastRenderedPageBreak/>
        <w:t>Growth</w:t>
      </w:r>
      <w:r w:rsidRPr="0015033C">
        <w:t xml:space="preserve"> focuses on the full flourishing of the human person across multi-dimensional do</w:t>
      </w:r>
      <w:r w:rsidR="002478FA">
        <w:t>mains to achieve deep learning.</w:t>
      </w:r>
    </w:p>
    <w:p w14:paraId="0AF5B05A" w14:textId="77777777" w:rsidR="00A3673A" w:rsidRPr="0015033C" w:rsidRDefault="00A3673A" w:rsidP="00677362">
      <w:pPr>
        <w:pStyle w:val="BodyText"/>
        <w:spacing w:after="120"/>
      </w:pPr>
      <w:r w:rsidRPr="0015033C">
        <w:rPr>
          <w:b/>
        </w:rPr>
        <w:t>Progress</w:t>
      </w:r>
      <w:r w:rsidRPr="0015033C">
        <w:t xml:space="preserve"> is observable and measurable change in student learning based on evidence and multiple data sources that indicates development along a continuum of learning</w:t>
      </w:r>
      <w:r w:rsidR="006025C0">
        <w:t>,</w:t>
      </w:r>
      <w:r w:rsidRPr="0015033C">
        <w:t xml:space="preserve"> and supports learners to see themselves as successful</w:t>
      </w:r>
      <w:r w:rsidR="00677362">
        <w:t>.</w:t>
      </w:r>
    </w:p>
    <w:p w14:paraId="0E7B1562" w14:textId="77777777" w:rsidR="00A3673A" w:rsidRPr="0015033C" w:rsidRDefault="00A3673A" w:rsidP="00677362">
      <w:pPr>
        <w:pStyle w:val="BodyText"/>
        <w:spacing w:after="120"/>
      </w:pPr>
      <w:r w:rsidRPr="0015033C">
        <w:rPr>
          <w:b/>
        </w:rPr>
        <w:t>Reporting</w:t>
      </w:r>
      <w:r w:rsidRPr="0015033C">
        <w:t xml:space="preserve"> is the process used to communicate knowledge gained from assessing student learning. The purpose of reporting is to provide relev</w:t>
      </w:r>
      <w:r w:rsidR="006025C0">
        <w:t>ant information about a student’</w:t>
      </w:r>
      <w:r w:rsidRPr="0015033C">
        <w:t>s progress to students, parents, su</w:t>
      </w:r>
      <w:r w:rsidR="002478FA">
        <w:t>pport staff and other teachers.</w:t>
      </w:r>
    </w:p>
    <w:p w14:paraId="22F01C48" w14:textId="24BFFA60" w:rsidR="00A3673A" w:rsidRPr="001C3012" w:rsidRDefault="00A3673A" w:rsidP="00AE38CB">
      <w:pPr>
        <w:pStyle w:val="BodyText"/>
        <w:spacing w:after="120"/>
        <w:ind w:right="-87"/>
      </w:pPr>
      <w:r w:rsidRPr="0015033C">
        <w:rPr>
          <w:b/>
        </w:rPr>
        <w:t>Standards</w:t>
      </w:r>
      <w:r w:rsidRPr="0015033C">
        <w:t xml:space="preserve"> </w:t>
      </w:r>
      <w:r w:rsidR="001C3012" w:rsidRPr="00A3673A">
        <w:rPr>
          <w:lang w:eastAsia="en-AU"/>
        </w:rPr>
        <w:t>describe the quality of learning (extent of knowledge, depth of understanding and sophistication of skills) that would indicate the student is well placed to commence the learning required at the next level of achievement wi</w:t>
      </w:r>
      <w:r w:rsidR="001C3012">
        <w:rPr>
          <w:lang w:eastAsia="en-AU"/>
        </w:rPr>
        <w:t>thin the Victorian Curriculum F–</w:t>
      </w:r>
      <w:r w:rsidR="001C3012" w:rsidRPr="00A3673A">
        <w:rPr>
          <w:lang w:eastAsia="en-AU"/>
        </w:rPr>
        <w:t>10 and/or VCE</w:t>
      </w:r>
      <w:r w:rsidR="00952E20">
        <w:rPr>
          <w:lang w:eastAsia="en-AU"/>
        </w:rPr>
        <w:t>/VCE V</w:t>
      </w:r>
      <w:r w:rsidR="006B324C">
        <w:rPr>
          <w:lang w:eastAsia="en-AU"/>
        </w:rPr>
        <w:t xml:space="preserve">ocational </w:t>
      </w:r>
      <w:r w:rsidR="00952E20">
        <w:rPr>
          <w:lang w:eastAsia="en-AU"/>
        </w:rPr>
        <w:t>M</w:t>
      </w:r>
      <w:r w:rsidR="006B324C">
        <w:rPr>
          <w:lang w:eastAsia="en-AU"/>
        </w:rPr>
        <w:t>ajor (VM)</w:t>
      </w:r>
      <w:r w:rsidR="001C3012" w:rsidRPr="00295DCD">
        <w:rPr>
          <w:lang w:eastAsia="en-AU"/>
        </w:rPr>
        <w:t xml:space="preserve"> </w:t>
      </w:r>
      <w:r w:rsidR="001C3012" w:rsidRPr="00A3673A">
        <w:rPr>
          <w:lang w:eastAsia="en-AU"/>
        </w:rPr>
        <w:t xml:space="preserve">study designs, </w:t>
      </w:r>
      <w:r w:rsidR="00952E20">
        <w:rPr>
          <w:lang w:eastAsia="en-AU"/>
        </w:rPr>
        <w:t>V</w:t>
      </w:r>
      <w:r w:rsidR="006B324C">
        <w:rPr>
          <w:lang w:eastAsia="en-AU"/>
        </w:rPr>
        <w:t xml:space="preserve">ictorian </w:t>
      </w:r>
      <w:r w:rsidR="00952E20">
        <w:rPr>
          <w:lang w:eastAsia="en-AU"/>
        </w:rPr>
        <w:t>P</w:t>
      </w:r>
      <w:r w:rsidR="006B324C">
        <w:rPr>
          <w:lang w:eastAsia="en-AU"/>
        </w:rPr>
        <w:t xml:space="preserve">athways </w:t>
      </w:r>
      <w:r w:rsidR="00952E20">
        <w:rPr>
          <w:lang w:eastAsia="en-AU"/>
        </w:rPr>
        <w:t>C</w:t>
      </w:r>
      <w:r w:rsidR="006B324C">
        <w:rPr>
          <w:lang w:eastAsia="en-AU"/>
        </w:rPr>
        <w:t>ertificate (VPC)</w:t>
      </w:r>
      <w:r w:rsidR="00952E20">
        <w:rPr>
          <w:lang w:eastAsia="en-AU"/>
        </w:rPr>
        <w:t xml:space="preserve"> curriculum designs, </w:t>
      </w:r>
      <w:r w:rsidR="001C3012" w:rsidRPr="00A3673A">
        <w:rPr>
          <w:lang w:eastAsia="en-AU"/>
        </w:rPr>
        <w:t>VCAL</w:t>
      </w:r>
      <w:r w:rsidR="006B324C">
        <w:rPr>
          <w:lang w:eastAsia="en-AU"/>
        </w:rPr>
        <w:t xml:space="preserve"> curriculum documents (for Teach-Out arrangements in 2023) and/</w:t>
      </w:r>
      <w:r w:rsidR="001C3012" w:rsidRPr="00A3673A">
        <w:rPr>
          <w:lang w:eastAsia="en-AU"/>
        </w:rPr>
        <w:t>or units of competency within a Vocational Education and Training (VET) program.</w:t>
      </w:r>
    </w:p>
    <w:p w14:paraId="7079BB2A" w14:textId="77777777" w:rsidR="00A3673A" w:rsidRPr="0015033C" w:rsidRDefault="00A3673A" w:rsidP="0015033C">
      <w:pPr>
        <w:pStyle w:val="BodyText"/>
      </w:pPr>
      <w:r w:rsidRPr="0015033C">
        <w:rPr>
          <w:b/>
        </w:rPr>
        <w:t>Victorian Curriculum and Assessment Authority (VCAA)</w:t>
      </w:r>
      <w:r w:rsidRPr="0015033C">
        <w:t xml:space="preserve"> is the statutory authority primarily accountable to the Minister of Education, for the provision of curricula and assessment and </w:t>
      </w:r>
      <w:r w:rsidR="002478FA">
        <w:t>reporting in Victorian schools.</w:t>
      </w:r>
    </w:p>
    <w:p w14:paraId="090E1F44" w14:textId="77777777" w:rsidR="00A3673A" w:rsidRPr="002478FA" w:rsidRDefault="002478FA" w:rsidP="00677362">
      <w:pPr>
        <w:pStyle w:val="Heading1"/>
        <w:rPr>
          <w:sz w:val="32"/>
        </w:rPr>
      </w:pPr>
      <w:r w:rsidRPr="002478FA">
        <w:rPr>
          <w:sz w:val="32"/>
        </w:rPr>
        <w:t>Assessment</w:t>
      </w:r>
    </w:p>
    <w:p w14:paraId="12909EC5" w14:textId="77777777" w:rsidR="00611C7F" w:rsidRPr="00D2304E" w:rsidRDefault="00611C7F" w:rsidP="00611C7F">
      <w:pPr>
        <w:pStyle w:val="BodyText"/>
        <w:rPr>
          <w:rFonts w:ascii="Calibri" w:eastAsia="Calibri" w:hAnsi="Calibri" w:cs="Calibri"/>
          <w:lang w:eastAsia="en-AU"/>
        </w:rPr>
      </w:pPr>
      <w:r w:rsidRPr="00D2304E">
        <w:rPr>
          <w:lang w:eastAsia="en-AU"/>
        </w:rPr>
        <w:t xml:space="preserve">At </w:t>
      </w:r>
      <w:r w:rsidRPr="00694068">
        <w:rPr>
          <w:lang w:eastAsia="en-AU"/>
        </w:rPr>
        <w:t>St. Mary MacKillop Primary School</w:t>
      </w:r>
      <w:r>
        <w:rPr>
          <w:lang w:eastAsia="en-AU"/>
        </w:rPr>
        <w:t>,</w:t>
      </w:r>
      <w:r w:rsidRPr="00694068">
        <w:rPr>
          <w:lang w:eastAsia="en-AU"/>
        </w:rPr>
        <w:t xml:space="preserve"> </w:t>
      </w:r>
      <w:r w:rsidRPr="00D2304E">
        <w:rPr>
          <w:lang w:eastAsia="en-AU"/>
        </w:rPr>
        <w:t xml:space="preserve">teachers assess and monitor student growth, learning progress and achievement against the curriculum standards and within the learning and teaching program at </w:t>
      </w:r>
      <w:r w:rsidRPr="00694068">
        <w:rPr>
          <w:lang w:eastAsia="en-AU"/>
        </w:rPr>
        <w:t>St. Mary MacKillop Primary School</w:t>
      </w:r>
      <w:r>
        <w:rPr>
          <w:lang w:eastAsia="en-AU"/>
        </w:rPr>
        <w:t>.</w:t>
      </w:r>
    </w:p>
    <w:p w14:paraId="015B6B37" w14:textId="77777777" w:rsidR="00A3673A" w:rsidRPr="002478FA" w:rsidRDefault="002478FA" w:rsidP="00677362">
      <w:pPr>
        <w:pStyle w:val="Heading1"/>
        <w:rPr>
          <w:sz w:val="32"/>
        </w:rPr>
      </w:pPr>
      <w:r w:rsidRPr="002478FA">
        <w:rPr>
          <w:sz w:val="32"/>
        </w:rPr>
        <w:t>Reporting</w:t>
      </w:r>
    </w:p>
    <w:p w14:paraId="2B2CD674" w14:textId="4F8CD39C" w:rsidR="00A3673A" w:rsidRPr="00A3673A" w:rsidRDefault="00A3673A" w:rsidP="0015033C">
      <w:pPr>
        <w:pStyle w:val="BodyText"/>
        <w:rPr>
          <w:lang w:eastAsia="en-AU"/>
        </w:rPr>
      </w:pPr>
      <w:r w:rsidRPr="00D2304E">
        <w:rPr>
          <w:lang w:eastAsia="en-AU"/>
        </w:rPr>
        <w:t xml:space="preserve">At </w:t>
      </w:r>
      <w:r w:rsidR="00611C7F" w:rsidRPr="006540E2">
        <w:rPr>
          <w:lang w:eastAsia="en-AU"/>
        </w:rPr>
        <w:t>St</w:t>
      </w:r>
      <w:r w:rsidR="00611C7F">
        <w:rPr>
          <w:lang w:eastAsia="en-AU"/>
        </w:rPr>
        <w:t xml:space="preserve"> </w:t>
      </w:r>
      <w:r w:rsidR="00611C7F" w:rsidRPr="006540E2">
        <w:rPr>
          <w:lang w:eastAsia="en-AU"/>
        </w:rPr>
        <w:t>Mary MacKillop Primary School</w:t>
      </w:r>
      <w:r w:rsidR="00E0536A">
        <w:rPr>
          <w:lang w:eastAsia="en-AU"/>
        </w:rPr>
        <w:t>,</w:t>
      </w:r>
      <w:r w:rsidR="0015033C" w:rsidRPr="00D2304E">
        <w:rPr>
          <w:i/>
          <w:lang w:eastAsia="en-AU"/>
        </w:rPr>
        <w:t xml:space="preserve"> </w:t>
      </w:r>
      <w:r w:rsidR="001C3012" w:rsidRPr="001C3012">
        <w:t>the nature and frequency of feedback given to students and parents about individual assessment tasks is determined by teachers and leaders.</w:t>
      </w:r>
      <w:r w:rsidR="001C3012" w:rsidRPr="00A3673A">
        <w:rPr>
          <w:rFonts w:ascii="Calibri" w:eastAsia="Calibri" w:hAnsi="Calibri" w:cs="Calibri"/>
          <w:color w:val="000000"/>
          <w:lang w:eastAsia="en-AU"/>
        </w:rPr>
        <w:t xml:space="preserve">  </w:t>
      </w:r>
    </w:p>
    <w:p w14:paraId="722BDFD4" w14:textId="02643116" w:rsidR="00A3673A" w:rsidRPr="00F066A8" w:rsidRDefault="00611C7F" w:rsidP="0015033C">
      <w:pPr>
        <w:pStyle w:val="BodyText"/>
        <w:rPr>
          <w:i/>
        </w:rPr>
      </w:pPr>
      <w:r w:rsidRPr="006540E2">
        <w:rPr>
          <w:lang w:eastAsia="en-AU"/>
        </w:rPr>
        <w:t>St</w:t>
      </w:r>
      <w:r>
        <w:rPr>
          <w:lang w:eastAsia="en-AU"/>
        </w:rPr>
        <w:t xml:space="preserve"> </w:t>
      </w:r>
      <w:r w:rsidRPr="006540E2">
        <w:rPr>
          <w:lang w:eastAsia="en-AU"/>
        </w:rPr>
        <w:t>Mary MacKillop Primary School</w:t>
      </w:r>
      <w:r w:rsidRPr="0015033C">
        <w:t xml:space="preserve"> </w:t>
      </w:r>
      <w:r w:rsidR="00A3673A" w:rsidRPr="0015033C">
        <w:t xml:space="preserve">complies with the </w:t>
      </w:r>
      <w:r w:rsidR="00E0536A">
        <w:t>Australian</w:t>
      </w:r>
      <w:r w:rsidR="006D4193">
        <w:t xml:space="preserve"> G</w:t>
      </w:r>
      <w:r w:rsidR="00A3673A" w:rsidRPr="0015033C">
        <w:t>overnment reporting requirements. These requirements apply to the written reports on student learning and progress. Reports are provided twice annually for each student in each year t</w:t>
      </w:r>
      <w:r w:rsidR="002478FA">
        <w:t>hey are enrolled at the school.</w:t>
      </w:r>
      <w:r w:rsidR="00A3673A" w:rsidRPr="0015033C">
        <w:t xml:space="preserve"> More information about the specific requirements for reporting can be found in the Catholic Education Commission </w:t>
      </w:r>
      <w:r w:rsidR="00E0536A">
        <w:t xml:space="preserve">of </w:t>
      </w:r>
      <w:r w:rsidR="00A3673A" w:rsidRPr="0015033C">
        <w:t xml:space="preserve">Victoria </w:t>
      </w:r>
      <w:r w:rsidR="00E0536A">
        <w:t xml:space="preserve">Ltd (CECV) </w:t>
      </w:r>
      <w:r w:rsidR="00034D69">
        <w:t xml:space="preserve"> </w:t>
      </w:r>
      <w:hyperlink r:id="rId11" w:history="1">
        <w:r w:rsidR="00034D69" w:rsidRPr="00F066A8">
          <w:rPr>
            <w:rStyle w:val="Hyperlink"/>
            <w:i/>
          </w:rPr>
          <w:t>Reporting Student Progress and Achievement: 2022 Revised Guidelines for Victorian Catholic Schools</w:t>
        </w:r>
      </w:hyperlink>
      <w:r w:rsidR="00034D69">
        <w:rPr>
          <w:i/>
        </w:rPr>
        <w:t>.</w:t>
      </w:r>
    </w:p>
    <w:p w14:paraId="1836BC7F" w14:textId="77777777" w:rsidR="00A3673A" w:rsidRPr="00A3673A" w:rsidRDefault="002478FA" w:rsidP="002478FA">
      <w:pPr>
        <w:pStyle w:val="Heading2"/>
      </w:pPr>
      <w:r>
        <w:t>Senior secondary education</w:t>
      </w:r>
    </w:p>
    <w:p w14:paraId="06EA025F" w14:textId="77777777" w:rsidR="00A3673A" w:rsidRPr="00677362" w:rsidRDefault="00A3673A" w:rsidP="00677362">
      <w:pPr>
        <w:pStyle w:val="BodyText"/>
        <w:spacing w:after="120"/>
      </w:pPr>
      <w:r w:rsidRPr="00677362">
        <w:t>Schools must have polic</w:t>
      </w:r>
      <w:r w:rsidR="002478FA">
        <w:t>ies and procedures in place to:</w:t>
      </w:r>
    </w:p>
    <w:p w14:paraId="5A69ACC2" w14:textId="77777777" w:rsidR="00A3673A" w:rsidRPr="00677362" w:rsidRDefault="00677362" w:rsidP="00677362">
      <w:pPr>
        <w:pStyle w:val="List"/>
      </w:pPr>
      <w:r>
        <w:t>m</w:t>
      </w:r>
      <w:r w:rsidR="00A3673A" w:rsidRPr="00677362">
        <w:t>ai</w:t>
      </w:r>
      <w:r w:rsidR="002478FA">
        <w:t>ntain accurate student records</w:t>
      </w:r>
    </w:p>
    <w:p w14:paraId="23157BCD" w14:textId="77777777" w:rsidR="00A3673A" w:rsidRPr="00677362" w:rsidRDefault="00677362" w:rsidP="00677362">
      <w:pPr>
        <w:pStyle w:val="List"/>
      </w:pPr>
      <w:r>
        <w:t>e</w:t>
      </w:r>
      <w:r w:rsidR="00A3673A" w:rsidRPr="00677362">
        <w:t>nsure the i</w:t>
      </w:r>
      <w:r w:rsidR="002478FA">
        <w:t>ntegrity of student assessments</w:t>
      </w:r>
    </w:p>
    <w:p w14:paraId="0A3B1B7A" w14:textId="77777777" w:rsidR="00A3673A" w:rsidRPr="00677362" w:rsidRDefault="00677362" w:rsidP="00677362">
      <w:pPr>
        <w:pStyle w:val="List"/>
      </w:pPr>
      <w:r>
        <w:t>m</w:t>
      </w:r>
      <w:r w:rsidR="00A3673A" w:rsidRPr="00677362">
        <w:t>onitor student participation, complet</w:t>
      </w:r>
      <w:r w:rsidR="002478FA">
        <w:t>ion rates and outcomes.</w:t>
      </w:r>
    </w:p>
    <w:p w14:paraId="1899CD0C" w14:textId="77777777" w:rsidR="00A3673A" w:rsidRPr="00677362" w:rsidRDefault="00A3673A" w:rsidP="00677362">
      <w:pPr>
        <w:pStyle w:val="BodyText"/>
      </w:pPr>
      <w:r w:rsidRPr="00677362">
        <w:t>The policies and procedures must cover the analysis of results and student participation in accordance with the requ</w:t>
      </w:r>
      <w:r w:rsidR="002478FA">
        <w:t>irements of the awarding body.</w:t>
      </w:r>
    </w:p>
    <w:p w14:paraId="5F5C01E6" w14:textId="77777777" w:rsidR="00A3673A" w:rsidRPr="002478FA" w:rsidRDefault="00A3673A" w:rsidP="001C3012">
      <w:pPr>
        <w:pStyle w:val="Heading2"/>
      </w:pPr>
      <w:r w:rsidRPr="002478FA">
        <w:t xml:space="preserve">Review of assessment and reporting practices – </w:t>
      </w:r>
      <w:r w:rsidR="00D17454">
        <w:t>u</w:t>
      </w:r>
      <w:r w:rsidR="002478FA" w:rsidRPr="002478FA">
        <w:t>se of student learning data</w:t>
      </w:r>
    </w:p>
    <w:p w14:paraId="67C1CBC3" w14:textId="3F8E2FEF" w:rsidR="00A3673A" w:rsidRPr="00677362" w:rsidRDefault="00A3673A" w:rsidP="00677362">
      <w:pPr>
        <w:pStyle w:val="BodyText"/>
      </w:pPr>
      <w:r w:rsidRPr="00677362">
        <w:t xml:space="preserve">Teachers at </w:t>
      </w:r>
      <w:r w:rsidR="00611C7F" w:rsidRPr="006540E2">
        <w:rPr>
          <w:lang w:eastAsia="en-AU"/>
        </w:rPr>
        <w:t>St</w:t>
      </w:r>
      <w:r w:rsidR="00611C7F">
        <w:rPr>
          <w:lang w:eastAsia="en-AU"/>
        </w:rPr>
        <w:t xml:space="preserve"> </w:t>
      </w:r>
      <w:r w:rsidR="00611C7F" w:rsidRPr="006540E2">
        <w:rPr>
          <w:lang w:eastAsia="en-AU"/>
        </w:rPr>
        <w:t>Mary MacKillop Primary School</w:t>
      </w:r>
      <w:r w:rsidR="00611C7F" w:rsidRPr="00677362">
        <w:t xml:space="preserve"> </w:t>
      </w:r>
      <w:r w:rsidRPr="00677362">
        <w:t>document the processes they use to review practices for assessment and reporting. This informat</w:t>
      </w:r>
      <w:r w:rsidR="002D38F1" w:rsidRPr="00677362">
        <w:t xml:space="preserve">ion includes the ways in which </w:t>
      </w:r>
      <w:r w:rsidRPr="00677362">
        <w:t>data about student learning progress from a variety of sources is ana</w:t>
      </w:r>
      <w:r w:rsidR="00EF446C">
        <w:t>lysed to improve student growth and</w:t>
      </w:r>
      <w:r w:rsidRPr="00677362">
        <w:t xml:space="preserve"> learning progress</w:t>
      </w:r>
      <w:r w:rsidR="00EF446C">
        <w:t>,</w:t>
      </w:r>
      <w:r w:rsidRPr="00677362">
        <w:t xml:space="preserve"> and to guide </w:t>
      </w:r>
      <w:r w:rsidR="002478FA">
        <w:t>learning and teaching programs.</w:t>
      </w:r>
    </w:p>
    <w:p w14:paraId="10B2F7AC" w14:textId="77777777" w:rsidR="001C3012" w:rsidRDefault="001C3012">
      <w:pPr>
        <w:rPr>
          <w:rFonts w:eastAsia="Calibri" w:cstheme="minorHAnsi"/>
          <w:color w:val="00A8D6"/>
          <w:sz w:val="32"/>
          <w:szCs w:val="32"/>
          <w:lang w:val="en-US" w:eastAsia="en-AU"/>
        </w:rPr>
      </w:pPr>
      <w:r>
        <w:rPr>
          <w:sz w:val="32"/>
        </w:rPr>
        <w:br w:type="page"/>
      </w:r>
    </w:p>
    <w:p w14:paraId="3CD43051" w14:textId="77777777" w:rsidR="00A3673A" w:rsidRPr="002478FA" w:rsidRDefault="006D4193" w:rsidP="00677362">
      <w:pPr>
        <w:pStyle w:val="Heading1"/>
        <w:rPr>
          <w:sz w:val="32"/>
        </w:rPr>
      </w:pPr>
      <w:r>
        <w:rPr>
          <w:sz w:val="32"/>
        </w:rPr>
        <w:lastRenderedPageBreak/>
        <w:t>Related P</w:t>
      </w:r>
      <w:r w:rsidR="002478FA" w:rsidRPr="002478FA">
        <w:rPr>
          <w:sz w:val="32"/>
        </w:rPr>
        <w:t xml:space="preserve">olicies and </w:t>
      </w:r>
      <w:r>
        <w:rPr>
          <w:sz w:val="32"/>
        </w:rPr>
        <w:t>D</w:t>
      </w:r>
      <w:r w:rsidR="002478FA" w:rsidRPr="002478FA">
        <w:rPr>
          <w:sz w:val="32"/>
        </w:rPr>
        <w:t>ocuments</w:t>
      </w:r>
    </w:p>
    <w:p w14:paraId="70786CA1" w14:textId="77777777" w:rsidR="00611C7F" w:rsidRPr="007C2073" w:rsidRDefault="00611C7F" w:rsidP="00611C7F">
      <w:pPr>
        <w:pStyle w:val="BodyText"/>
        <w:spacing w:after="120"/>
      </w:pPr>
      <w:r w:rsidRPr="007C2073">
        <w:t xml:space="preserve">Assessment Schedule </w:t>
      </w:r>
    </w:p>
    <w:p w14:paraId="56EC4FBA" w14:textId="77777777" w:rsidR="00611C7F" w:rsidRPr="007C2073" w:rsidRDefault="00611C7F" w:rsidP="00611C7F">
      <w:pPr>
        <w:pStyle w:val="BodyText"/>
        <w:spacing w:after="120"/>
      </w:pPr>
      <w:r w:rsidRPr="007C2073">
        <w:t>Learning Diversity</w:t>
      </w:r>
    </w:p>
    <w:p w14:paraId="42BB7A7F" w14:textId="77777777" w:rsidR="00611C7F" w:rsidRPr="007C2073" w:rsidRDefault="00611C7F" w:rsidP="00611C7F">
      <w:pPr>
        <w:pStyle w:val="BodyText"/>
        <w:spacing w:after="120"/>
      </w:pPr>
      <w:r w:rsidRPr="007C2073">
        <w:t>Professional Learning</w:t>
      </w:r>
    </w:p>
    <w:p w14:paraId="2D573181" w14:textId="77777777" w:rsidR="00611C7F" w:rsidRPr="00677362" w:rsidRDefault="00611C7F" w:rsidP="00611C7F">
      <w:pPr>
        <w:pStyle w:val="BodyText"/>
      </w:pPr>
      <w:r>
        <w:t xml:space="preserve">Parent </w:t>
      </w:r>
      <w:r w:rsidRPr="007C2073">
        <w:t>handbook</w:t>
      </w:r>
    </w:p>
    <w:p w14:paraId="31F907D6" w14:textId="77777777" w:rsidR="00A3673A" w:rsidRPr="002478FA" w:rsidRDefault="006025C0" w:rsidP="00677362">
      <w:pPr>
        <w:pStyle w:val="Heading1"/>
        <w:rPr>
          <w:sz w:val="32"/>
        </w:rPr>
      </w:pPr>
      <w:bookmarkStart w:id="1" w:name="_GoBack"/>
      <w:bookmarkEnd w:id="1"/>
      <w:r>
        <w:rPr>
          <w:sz w:val="32"/>
        </w:rPr>
        <w:t>R</w:t>
      </w:r>
      <w:r w:rsidR="002478FA" w:rsidRPr="002478FA">
        <w:rPr>
          <w:sz w:val="32"/>
        </w:rPr>
        <w:t>eferences</w:t>
      </w:r>
    </w:p>
    <w:p w14:paraId="39AE5CA8" w14:textId="0F1EF240" w:rsidR="00A3673A" w:rsidRPr="00A3673A" w:rsidRDefault="00D17454" w:rsidP="0015033C">
      <w:pPr>
        <w:pStyle w:val="BodyText"/>
        <w:rPr>
          <w:lang w:eastAsia="en-AU"/>
        </w:rPr>
      </w:pPr>
      <w:r>
        <w:rPr>
          <w:lang w:eastAsia="en-AU"/>
        </w:rPr>
        <w:t>Catholic Education Commission of Victoria –</w:t>
      </w:r>
      <w:r w:rsidR="00034D69">
        <w:rPr>
          <w:i/>
          <w:color w:val="0000FF"/>
          <w:u w:val="single" w:color="0000FF"/>
          <w:lang w:eastAsia="en-AU"/>
        </w:rPr>
        <w:t xml:space="preserve"> </w:t>
      </w:r>
      <w:hyperlink r:id="rId12" w:history="1">
        <w:r w:rsidR="00034D69" w:rsidRPr="002448F5">
          <w:rPr>
            <w:rStyle w:val="Hyperlink"/>
            <w:i/>
          </w:rPr>
          <w:t>Reporting Student Progress and Achievement: 2022 Revised Guidelines for Victorian Catholic Schools</w:t>
        </w:r>
      </w:hyperlink>
      <w:r w:rsidR="00034D69">
        <w:rPr>
          <w:i/>
        </w:rPr>
        <w:t>.</w:t>
      </w:r>
    </w:p>
    <w:p w14:paraId="587D0D20" w14:textId="1ECF37E4" w:rsidR="006B324C" w:rsidRPr="002E6839" w:rsidRDefault="00034D69" w:rsidP="006B324C">
      <w:pPr>
        <w:pStyle w:val="BodyText"/>
        <w:numPr>
          <w:ilvl w:val="0"/>
          <w:numId w:val="8"/>
        </w:numPr>
        <w:ind w:left="426"/>
        <w:rPr>
          <w:rStyle w:val="Hyperlink"/>
          <w:lang w:eastAsia="en-AU"/>
        </w:rPr>
      </w:pPr>
      <w:r>
        <w:rPr>
          <w:lang w:eastAsia="en-AU"/>
        </w:rPr>
        <w:t>Victorian Curriculum and Assessment Authority</w:t>
      </w:r>
      <w:r w:rsidR="006B324C">
        <w:rPr>
          <w:lang w:eastAsia="en-AU"/>
        </w:rPr>
        <w:t xml:space="preserve"> webpages:</w:t>
      </w:r>
      <w:r>
        <w:rPr>
          <w:lang w:eastAsia="en-AU"/>
        </w:rPr>
        <w:t xml:space="preserve"> –</w:t>
      </w:r>
      <w:r w:rsidR="006B324C">
        <w:rPr>
          <w:lang w:eastAsia="en-AU"/>
        </w:rPr>
        <w:t xml:space="preserve">Victorian F–10 Curriculum: </w:t>
      </w:r>
      <w:r w:rsidR="002E6839">
        <w:rPr>
          <w:lang w:eastAsia="en-AU"/>
        </w:rPr>
        <w:fldChar w:fldCharType="begin"/>
      </w:r>
      <w:r w:rsidR="002E6839">
        <w:rPr>
          <w:lang w:eastAsia="en-AU"/>
        </w:rPr>
        <w:instrText xml:space="preserve"> HYPERLINK "https://www.vcaa.vic.edu.au/curriculum/foundation-10/Pages/default.aspx" </w:instrText>
      </w:r>
      <w:r w:rsidR="002E6839">
        <w:rPr>
          <w:lang w:eastAsia="en-AU"/>
        </w:rPr>
        <w:fldChar w:fldCharType="separate"/>
      </w:r>
      <w:r w:rsidR="006B324C" w:rsidRPr="002E6839">
        <w:rPr>
          <w:rStyle w:val="Hyperlink"/>
          <w:lang w:eastAsia="en-AU"/>
        </w:rPr>
        <w:t>www.vcaa.vic.edu.au/curriculum/foundation-10/Pages/default.aspx</w:t>
      </w:r>
    </w:p>
    <w:p w14:paraId="506D71CB" w14:textId="07C4E5A5" w:rsidR="006B324C" w:rsidRPr="002E6839" w:rsidRDefault="002E6839" w:rsidP="006B324C">
      <w:pPr>
        <w:pStyle w:val="BodyText"/>
        <w:numPr>
          <w:ilvl w:val="0"/>
          <w:numId w:val="8"/>
        </w:numPr>
        <w:ind w:left="426"/>
        <w:rPr>
          <w:rStyle w:val="Hyperlink"/>
          <w:lang w:eastAsia="en-AU"/>
        </w:rPr>
      </w:pPr>
      <w:r>
        <w:rPr>
          <w:lang w:eastAsia="en-AU"/>
        </w:rPr>
        <w:fldChar w:fldCharType="end"/>
      </w:r>
      <w:r w:rsidR="006B324C">
        <w:rPr>
          <w:lang w:eastAsia="en-AU"/>
        </w:rPr>
        <w:t xml:space="preserve">VCAA Administrative Handbooks: </w:t>
      </w:r>
      <w:r>
        <w:rPr>
          <w:lang w:eastAsia="en-AU"/>
        </w:rPr>
        <w:fldChar w:fldCharType="begin"/>
      </w:r>
      <w:r>
        <w:rPr>
          <w:lang w:eastAsia="en-AU"/>
        </w:rPr>
        <w:instrText xml:space="preserve"> HYPERLINK "https://www.vcaa.vic.edu.au/administration/vce-vcal-handbook/Pages/index.aspx" </w:instrText>
      </w:r>
      <w:r>
        <w:rPr>
          <w:lang w:eastAsia="en-AU"/>
        </w:rPr>
        <w:fldChar w:fldCharType="separate"/>
      </w:r>
      <w:r w:rsidR="006B324C" w:rsidRPr="002E6839">
        <w:rPr>
          <w:rStyle w:val="Hyperlink"/>
          <w:lang w:eastAsia="en-AU"/>
        </w:rPr>
        <w:t>www.vcaa.vic.edu.au/administration/vce-vcal-handbook/Pages/index.aspx</w:t>
      </w:r>
    </w:p>
    <w:p w14:paraId="11B36B8A" w14:textId="1ABA85A2" w:rsidR="006B324C" w:rsidRDefault="002E6839" w:rsidP="006B324C">
      <w:pPr>
        <w:pStyle w:val="BodyText"/>
        <w:numPr>
          <w:ilvl w:val="0"/>
          <w:numId w:val="8"/>
        </w:numPr>
        <w:ind w:left="426"/>
        <w:rPr>
          <w:lang w:eastAsia="en-AU"/>
        </w:rPr>
      </w:pPr>
      <w:r>
        <w:rPr>
          <w:lang w:eastAsia="en-AU"/>
        </w:rPr>
        <w:fldChar w:fldCharType="end"/>
      </w:r>
      <w:r w:rsidR="006B324C">
        <w:rPr>
          <w:lang w:eastAsia="en-AU"/>
        </w:rPr>
        <w:t xml:space="preserve">Senior Secondary Certificate Reform: </w:t>
      </w:r>
      <w:hyperlink r:id="rId13" w:history="1">
        <w:r>
          <w:rPr>
            <w:rStyle w:val="Hyperlink"/>
            <w:lang w:eastAsia="en-AU"/>
          </w:rPr>
          <w:t>https://www.vcaa.vic.edu.au/victorianseniorsecondarycertificatereform/Pages/Index.aspx</w:t>
        </w:r>
      </w:hyperlink>
    </w:p>
    <w:p w14:paraId="2B314B1A" w14:textId="30E93D73" w:rsidR="006B324C" w:rsidRDefault="006B324C" w:rsidP="006B324C">
      <w:pPr>
        <w:pStyle w:val="BodyText"/>
        <w:numPr>
          <w:ilvl w:val="0"/>
          <w:numId w:val="8"/>
        </w:numPr>
        <w:ind w:left="426"/>
        <w:rPr>
          <w:lang w:eastAsia="en-AU"/>
        </w:rPr>
      </w:pPr>
      <w:r>
        <w:rPr>
          <w:lang w:eastAsia="en-AU"/>
        </w:rPr>
        <w:t xml:space="preserve">VCE: </w:t>
      </w:r>
      <w:hyperlink r:id="rId14" w:history="1">
        <w:r w:rsidR="002E6839">
          <w:rPr>
            <w:rStyle w:val="Hyperlink"/>
            <w:lang w:eastAsia="en-AU"/>
          </w:rPr>
          <w:t>https://www.vcaa.vic.edu.au/curriculum/vce/vce-study-designs/Pages/vce-study-designs.aspx</w:t>
        </w:r>
      </w:hyperlink>
    </w:p>
    <w:p w14:paraId="1D1AE03E" w14:textId="2585D870" w:rsidR="006B324C" w:rsidRPr="002E6839" w:rsidRDefault="006B324C" w:rsidP="006B324C">
      <w:pPr>
        <w:pStyle w:val="BodyText"/>
        <w:numPr>
          <w:ilvl w:val="0"/>
          <w:numId w:val="8"/>
        </w:numPr>
        <w:ind w:left="426"/>
        <w:rPr>
          <w:rStyle w:val="Hyperlink"/>
          <w:lang w:eastAsia="en-AU"/>
        </w:rPr>
      </w:pPr>
      <w:r>
        <w:rPr>
          <w:lang w:eastAsia="en-AU"/>
        </w:rPr>
        <w:t xml:space="preserve">VCE VM: </w:t>
      </w:r>
      <w:r w:rsidR="002E6839">
        <w:rPr>
          <w:lang w:eastAsia="en-AU"/>
        </w:rPr>
        <w:fldChar w:fldCharType="begin"/>
      </w:r>
      <w:r w:rsidR="002E6839">
        <w:rPr>
          <w:lang w:eastAsia="en-AU"/>
        </w:rPr>
        <w:instrText>HYPERLINK "https://www.vcaa.vic.edu.au/curriculum/vce/Pages/AboutVCEVocationalMajor.aspx"</w:instrText>
      </w:r>
      <w:r w:rsidR="002E6839">
        <w:rPr>
          <w:lang w:eastAsia="en-AU"/>
        </w:rPr>
        <w:fldChar w:fldCharType="separate"/>
      </w:r>
      <w:r w:rsidRPr="002E6839">
        <w:rPr>
          <w:rStyle w:val="Hyperlink"/>
          <w:lang w:eastAsia="en-AU"/>
        </w:rPr>
        <w:t>www.vcaa.vic.edu.au/curriculum/vce/Pages/AboutVCEVocationalMajor.aspx</w:t>
      </w:r>
    </w:p>
    <w:p w14:paraId="2B195C0D" w14:textId="033EC63B" w:rsidR="006B324C" w:rsidRDefault="002E6839" w:rsidP="006B324C">
      <w:pPr>
        <w:pStyle w:val="BodyText"/>
        <w:numPr>
          <w:ilvl w:val="0"/>
          <w:numId w:val="8"/>
        </w:numPr>
        <w:ind w:left="426"/>
        <w:rPr>
          <w:lang w:eastAsia="en-AU"/>
        </w:rPr>
      </w:pPr>
      <w:r>
        <w:rPr>
          <w:lang w:eastAsia="en-AU"/>
        </w:rPr>
        <w:fldChar w:fldCharType="end"/>
      </w:r>
      <w:r w:rsidR="006B324C">
        <w:rPr>
          <w:lang w:eastAsia="en-AU"/>
        </w:rPr>
        <w:t xml:space="preserve">VPC: </w:t>
      </w:r>
      <w:hyperlink r:id="rId15" w:history="1">
        <w:r>
          <w:rPr>
            <w:rStyle w:val="Hyperlink"/>
            <w:lang w:eastAsia="en-AU"/>
          </w:rPr>
          <w:t>http://www.vcaa.vic.edu.au/curriculum/VPC/Pages/AboutVPC.aspx</w:t>
        </w:r>
      </w:hyperlink>
    </w:p>
    <w:p w14:paraId="06ED3B0A" w14:textId="2B9E36B1" w:rsidR="006B324C" w:rsidRDefault="006B324C" w:rsidP="006B324C">
      <w:pPr>
        <w:pStyle w:val="BodyText"/>
        <w:numPr>
          <w:ilvl w:val="0"/>
          <w:numId w:val="8"/>
        </w:numPr>
        <w:ind w:left="426"/>
        <w:rPr>
          <w:lang w:eastAsia="en-AU"/>
        </w:rPr>
      </w:pPr>
      <w:r>
        <w:rPr>
          <w:lang w:eastAsia="en-AU"/>
        </w:rPr>
        <w:t xml:space="preserve">VCAL: </w:t>
      </w:r>
      <w:hyperlink r:id="rId16" w:history="1">
        <w:r w:rsidR="002E6839">
          <w:rPr>
            <w:rStyle w:val="Hyperlink"/>
            <w:lang w:eastAsia="en-AU"/>
          </w:rPr>
          <w:t>https://www.vcaa.vic.edu.au/curriculum/vcal/Pages/index.aspx</w:t>
        </w:r>
      </w:hyperlink>
    </w:p>
    <w:p w14:paraId="55FE99B7" w14:textId="70779D43" w:rsidR="006B324C" w:rsidRDefault="006B324C" w:rsidP="006B324C">
      <w:pPr>
        <w:pStyle w:val="BodyText"/>
        <w:numPr>
          <w:ilvl w:val="0"/>
          <w:numId w:val="8"/>
        </w:numPr>
        <w:ind w:left="426"/>
        <w:rPr>
          <w:lang w:eastAsia="en-AU"/>
        </w:rPr>
      </w:pPr>
      <w:r>
        <w:rPr>
          <w:lang w:eastAsia="en-AU"/>
        </w:rPr>
        <w:t xml:space="preserve">VET, including VCE VET: </w:t>
      </w:r>
      <w:hyperlink r:id="rId17" w:history="1">
        <w:r w:rsidR="002E6839">
          <w:rPr>
            <w:rStyle w:val="Hyperlink"/>
            <w:lang w:eastAsia="en-AU"/>
          </w:rPr>
          <w:t>http://www.vcaa.vic.edu.au/curriculum/vet/vce-vet-programs/Pages/Index.aspx</w:t>
        </w:r>
      </w:hyperlink>
    </w:p>
    <w:p w14:paraId="4FF08076" w14:textId="5B9A8827" w:rsidR="006B324C" w:rsidRDefault="006B324C" w:rsidP="006B324C">
      <w:pPr>
        <w:pStyle w:val="BodyText"/>
        <w:rPr>
          <w:lang w:eastAsia="en-AU"/>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F066A8" w:rsidRPr="0014653C" w14:paraId="7122A726" w14:textId="77777777" w:rsidTr="0069754E">
        <w:trPr>
          <w:trHeight w:val="147"/>
        </w:trPr>
        <w:tc>
          <w:tcPr>
            <w:tcW w:w="2127" w:type="dxa"/>
            <w:tcMar>
              <w:top w:w="28" w:type="dxa"/>
            </w:tcMar>
            <w:vAlign w:val="center"/>
          </w:tcPr>
          <w:p w14:paraId="39BCD678"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 xml:space="preserve">Responsible director </w:t>
            </w:r>
          </w:p>
        </w:tc>
        <w:tc>
          <w:tcPr>
            <w:tcW w:w="6662" w:type="dxa"/>
            <w:tcMar>
              <w:top w:w="28" w:type="dxa"/>
            </w:tcMar>
            <w:vAlign w:val="center"/>
          </w:tcPr>
          <w:p w14:paraId="1C7C8C64" w14:textId="31BDAF99"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Director, Learning and Regional Services</w:t>
            </w:r>
          </w:p>
        </w:tc>
      </w:tr>
      <w:tr w:rsidR="00F066A8" w:rsidRPr="0014653C" w14:paraId="1FAE2082" w14:textId="77777777" w:rsidTr="0069754E">
        <w:trPr>
          <w:trHeight w:val="147"/>
        </w:trPr>
        <w:tc>
          <w:tcPr>
            <w:tcW w:w="2127" w:type="dxa"/>
            <w:tcMar>
              <w:top w:w="28" w:type="dxa"/>
            </w:tcMar>
            <w:vAlign w:val="center"/>
          </w:tcPr>
          <w:p w14:paraId="5973604D"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Policy owner</w:t>
            </w:r>
          </w:p>
        </w:tc>
        <w:tc>
          <w:tcPr>
            <w:tcW w:w="6662" w:type="dxa"/>
            <w:tcMar>
              <w:top w:w="28" w:type="dxa"/>
            </w:tcMar>
            <w:vAlign w:val="center"/>
          </w:tcPr>
          <w:p w14:paraId="3A4261C9" w14:textId="7843BAE2"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General Manager, Improved Learning Outcomes</w:t>
            </w:r>
          </w:p>
        </w:tc>
      </w:tr>
      <w:tr w:rsidR="00F066A8" w:rsidRPr="0014653C" w14:paraId="1706DF1D" w14:textId="77777777" w:rsidTr="0069754E">
        <w:trPr>
          <w:trHeight w:val="147"/>
        </w:trPr>
        <w:tc>
          <w:tcPr>
            <w:tcW w:w="2127" w:type="dxa"/>
            <w:tcMar>
              <w:top w:w="28" w:type="dxa"/>
            </w:tcMar>
            <w:vAlign w:val="center"/>
          </w:tcPr>
          <w:p w14:paraId="7621CF73" w14:textId="778AC84A"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 xml:space="preserve">Approving </w:t>
            </w:r>
            <w:r>
              <w:rPr>
                <w:b/>
                <w:bCs/>
                <w:color w:val="595959" w:themeColor="text1" w:themeTint="A6"/>
                <w:spacing w:val="0"/>
                <w:kern w:val="2"/>
              </w:rPr>
              <w:t>authority</w:t>
            </w:r>
          </w:p>
        </w:tc>
        <w:tc>
          <w:tcPr>
            <w:tcW w:w="6662" w:type="dxa"/>
            <w:tcMar>
              <w:top w:w="28" w:type="dxa"/>
            </w:tcMar>
            <w:vAlign w:val="center"/>
          </w:tcPr>
          <w:p w14:paraId="0A205FC6" w14:textId="7050F15A"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Executive Director</w:t>
            </w:r>
          </w:p>
        </w:tc>
      </w:tr>
      <w:tr w:rsidR="00F066A8" w:rsidRPr="0014653C" w14:paraId="14CB1ECA" w14:textId="77777777" w:rsidTr="0069754E">
        <w:trPr>
          <w:trHeight w:val="147"/>
        </w:trPr>
        <w:tc>
          <w:tcPr>
            <w:tcW w:w="2127" w:type="dxa"/>
            <w:tcMar>
              <w:top w:w="28" w:type="dxa"/>
            </w:tcMar>
            <w:vAlign w:val="center"/>
          </w:tcPr>
          <w:p w14:paraId="7DAA0724" w14:textId="77777777" w:rsidR="00F066A8" w:rsidRPr="0014653C" w:rsidRDefault="00F066A8" w:rsidP="0069754E">
            <w:pPr>
              <w:pStyle w:val="FooterText"/>
              <w:spacing w:after="28"/>
              <w:rPr>
                <w:b/>
                <w:bCs/>
                <w:color w:val="595959" w:themeColor="text1" w:themeTint="A6"/>
                <w:spacing w:val="0"/>
                <w:kern w:val="2"/>
              </w:rPr>
            </w:pPr>
            <w:r>
              <w:rPr>
                <w:b/>
                <w:bCs/>
                <w:color w:val="595959" w:themeColor="text1" w:themeTint="A6"/>
                <w:spacing w:val="0"/>
                <w:kern w:val="2"/>
              </w:rPr>
              <w:t>Assigned board committee</w:t>
            </w:r>
          </w:p>
        </w:tc>
        <w:tc>
          <w:tcPr>
            <w:tcW w:w="6662" w:type="dxa"/>
            <w:tcMar>
              <w:top w:w="28" w:type="dxa"/>
            </w:tcMar>
            <w:vAlign w:val="center"/>
          </w:tcPr>
          <w:p w14:paraId="7EE0E556" w14:textId="2460D42E"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Education Strategy and Policy</w:t>
            </w:r>
          </w:p>
        </w:tc>
      </w:tr>
      <w:tr w:rsidR="00F066A8" w:rsidRPr="0014653C" w14:paraId="4D7D57B3" w14:textId="77777777" w:rsidTr="0069754E">
        <w:trPr>
          <w:trHeight w:val="147"/>
        </w:trPr>
        <w:tc>
          <w:tcPr>
            <w:tcW w:w="2127" w:type="dxa"/>
            <w:tcMar>
              <w:top w:w="28" w:type="dxa"/>
            </w:tcMar>
            <w:vAlign w:val="center"/>
          </w:tcPr>
          <w:p w14:paraId="4F68D950"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Approval date</w:t>
            </w:r>
          </w:p>
        </w:tc>
        <w:tc>
          <w:tcPr>
            <w:tcW w:w="6662" w:type="dxa"/>
            <w:tcMar>
              <w:top w:w="28" w:type="dxa"/>
            </w:tcMar>
            <w:vAlign w:val="center"/>
          </w:tcPr>
          <w:p w14:paraId="0465B92B" w14:textId="0D97C4BC"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9 November 2022</w:t>
            </w:r>
          </w:p>
        </w:tc>
      </w:tr>
      <w:tr w:rsidR="00F066A8" w:rsidRPr="0014653C" w14:paraId="4D147F99" w14:textId="77777777" w:rsidTr="0069754E">
        <w:trPr>
          <w:trHeight w:val="147"/>
        </w:trPr>
        <w:tc>
          <w:tcPr>
            <w:tcW w:w="2127" w:type="dxa"/>
            <w:tcMar>
              <w:top w:w="28" w:type="dxa"/>
            </w:tcMar>
            <w:vAlign w:val="center"/>
          </w:tcPr>
          <w:p w14:paraId="5C9A46E4" w14:textId="77777777" w:rsidR="00F066A8" w:rsidRPr="0014653C" w:rsidRDefault="00F066A8" w:rsidP="0069754E">
            <w:pPr>
              <w:pStyle w:val="FooterText"/>
              <w:spacing w:after="28"/>
              <w:rPr>
                <w:b/>
                <w:bCs/>
                <w:color w:val="595959" w:themeColor="text1" w:themeTint="A6"/>
                <w:spacing w:val="0"/>
                <w:kern w:val="2"/>
              </w:rPr>
            </w:pPr>
            <w:r>
              <w:rPr>
                <w:b/>
                <w:bCs/>
                <w:color w:val="595959" w:themeColor="text1" w:themeTint="A6"/>
                <w:spacing w:val="0"/>
                <w:kern w:val="2"/>
              </w:rPr>
              <w:t>Risk Rating</w:t>
            </w:r>
          </w:p>
        </w:tc>
        <w:tc>
          <w:tcPr>
            <w:tcW w:w="6662" w:type="dxa"/>
            <w:tcMar>
              <w:top w:w="28" w:type="dxa"/>
            </w:tcMar>
            <w:vAlign w:val="center"/>
          </w:tcPr>
          <w:p w14:paraId="259E8301" w14:textId="529CECCC" w:rsidR="00F066A8" w:rsidRPr="0014653C" w:rsidRDefault="00F066A8" w:rsidP="00886367">
            <w:pPr>
              <w:pStyle w:val="FooterText"/>
              <w:spacing w:after="28"/>
              <w:rPr>
                <w:color w:val="595959" w:themeColor="text1" w:themeTint="A6"/>
                <w:spacing w:val="0"/>
                <w:kern w:val="2"/>
              </w:rPr>
            </w:pPr>
            <w:r>
              <w:rPr>
                <w:color w:val="595959" w:themeColor="text1" w:themeTint="A6"/>
                <w:spacing w:val="0"/>
                <w:kern w:val="2"/>
              </w:rPr>
              <w:t>High</w:t>
            </w:r>
          </w:p>
        </w:tc>
      </w:tr>
      <w:tr w:rsidR="00F066A8" w:rsidRPr="0014653C" w14:paraId="6EAA1FBE" w14:textId="77777777" w:rsidTr="0069754E">
        <w:trPr>
          <w:trHeight w:val="132"/>
        </w:trPr>
        <w:tc>
          <w:tcPr>
            <w:tcW w:w="2127" w:type="dxa"/>
            <w:tcMar>
              <w:top w:w="28" w:type="dxa"/>
            </w:tcMar>
            <w:vAlign w:val="center"/>
          </w:tcPr>
          <w:p w14:paraId="2670004D"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Date of next review</w:t>
            </w:r>
          </w:p>
        </w:tc>
        <w:tc>
          <w:tcPr>
            <w:tcW w:w="6662" w:type="dxa"/>
            <w:tcMar>
              <w:top w:w="28" w:type="dxa"/>
            </w:tcMar>
            <w:vAlign w:val="center"/>
          </w:tcPr>
          <w:p w14:paraId="31C85D25" w14:textId="5410F0C3"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April 2023</w:t>
            </w:r>
          </w:p>
        </w:tc>
      </w:tr>
    </w:tbl>
    <w:p w14:paraId="0F90AAEC" w14:textId="77777777" w:rsidR="00F066A8" w:rsidRDefault="00F066A8" w:rsidP="002A523B">
      <w:pPr>
        <w:pStyle w:val="BodyCopy"/>
        <w:rPr>
          <w:kern w:val="2"/>
        </w:rPr>
      </w:pPr>
    </w:p>
    <w:tbl>
      <w:tblPr>
        <w:tblStyle w:val="GridTable1Light-Accent1"/>
        <w:tblW w:w="87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bottom w:w="28" w:type="dxa"/>
          <w:right w:w="57" w:type="dxa"/>
        </w:tblCellMar>
        <w:tblLook w:val="0000" w:firstRow="0" w:lastRow="0" w:firstColumn="0" w:lastColumn="0" w:noHBand="0" w:noVBand="0"/>
      </w:tblPr>
      <w:tblGrid>
        <w:gridCol w:w="2127"/>
        <w:gridCol w:w="6662"/>
      </w:tblGrid>
      <w:tr w:rsidR="00F066A8" w:rsidRPr="0014653C" w14:paraId="792B9BAB" w14:textId="77777777" w:rsidTr="0069754E">
        <w:trPr>
          <w:trHeight w:val="147"/>
        </w:trPr>
        <w:tc>
          <w:tcPr>
            <w:tcW w:w="8789" w:type="dxa"/>
            <w:gridSpan w:val="2"/>
            <w:shd w:val="clear" w:color="auto" w:fill="F2F2F2" w:themeFill="background1" w:themeFillShade="F2"/>
            <w:tcMar>
              <w:top w:w="28" w:type="dxa"/>
            </w:tcMar>
            <w:vAlign w:val="center"/>
          </w:tcPr>
          <w:p w14:paraId="3BF9CC9E" w14:textId="77777777" w:rsidR="00F066A8" w:rsidRPr="0014653C" w:rsidRDefault="00F066A8" w:rsidP="0069754E">
            <w:pPr>
              <w:pStyle w:val="FooterText"/>
              <w:spacing w:after="28"/>
              <w:rPr>
                <w:color w:val="595959" w:themeColor="text1" w:themeTint="A6"/>
                <w:spacing w:val="0"/>
                <w:kern w:val="2"/>
              </w:rPr>
            </w:pPr>
            <w:r w:rsidRPr="0014653C">
              <w:rPr>
                <w:b/>
                <w:bCs/>
                <w:color w:val="595959" w:themeColor="text1" w:themeTint="A6"/>
                <w:spacing w:val="0"/>
                <w:kern w:val="2"/>
              </w:rPr>
              <w:t xml:space="preserve">POLICY DATABASE INFORMATION </w:t>
            </w:r>
          </w:p>
        </w:tc>
      </w:tr>
      <w:tr w:rsidR="00F066A8" w:rsidRPr="0014653C" w14:paraId="65BD4F2E" w14:textId="77777777" w:rsidTr="0069754E">
        <w:trPr>
          <w:trHeight w:val="147"/>
        </w:trPr>
        <w:tc>
          <w:tcPr>
            <w:tcW w:w="2127" w:type="dxa"/>
            <w:tcMar>
              <w:top w:w="28" w:type="dxa"/>
            </w:tcMar>
            <w:vAlign w:val="center"/>
          </w:tcPr>
          <w:p w14:paraId="18FFD9E6" w14:textId="77777777" w:rsidR="00F066A8" w:rsidRPr="0014653C" w:rsidRDefault="00F066A8" w:rsidP="0069754E">
            <w:pPr>
              <w:pStyle w:val="FooterText"/>
              <w:spacing w:after="28"/>
              <w:rPr>
                <w:b/>
                <w:bCs/>
                <w:color w:val="595959" w:themeColor="text1" w:themeTint="A6"/>
                <w:spacing w:val="0"/>
                <w:kern w:val="2"/>
              </w:rPr>
            </w:pPr>
            <w:r>
              <w:rPr>
                <w:b/>
                <w:bCs/>
                <w:color w:val="595959" w:themeColor="text1" w:themeTint="A6"/>
                <w:spacing w:val="0"/>
                <w:kern w:val="2"/>
              </w:rPr>
              <w:t>Assigned Framework</w:t>
            </w:r>
          </w:p>
        </w:tc>
        <w:tc>
          <w:tcPr>
            <w:tcW w:w="6662" w:type="dxa"/>
            <w:tcMar>
              <w:top w:w="28" w:type="dxa"/>
            </w:tcMar>
            <w:vAlign w:val="center"/>
          </w:tcPr>
          <w:p w14:paraId="2A56F9E3" w14:textId="654FC389"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Curriculum</w:t>
            </w:r>
          </w:p>
        </w:tc>
      </w:tr>
      <w:tr w:rsidR="00F066A8" w:rsidRPr="0014653C" w14:paraId="57D990F8" w14:textId="77777777" w:rsidTr="0069754E">
        <w:trPr>
          <w:trHeight w:val="147"/>
        </w:trPr>
        <w:tc>
          <w:tcPr>
            <w:tcW w:w="2127" w:type="dxa"/>
            <w:tcMar>
              <w:top w:w="28" w:type="dxa"/>
            </w:tcMar>
            <w:vAlign w:val="center"/>
          </w:tcPr>
          <w:p w14:paraId="2A93901F"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Related documents</w:t>
            </w:r>
          </w:p>
        </w:tc>
        <w:tc>
          <w:tcPr>
            <w:tcW w:w="6662" w:type="dxa"/>
            <w:tcMar>
              <w:top w:w="28" w:type="dxa"/>
            </w:tcMar>
            <w:vAlign w:val="center"/>
          </w:tcPr>
          <w:p w14:paraId="7A0CCB20" w14:textId="1076333C"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Assessment and Reporting Procedures</w:t>
            </w:r>
          </w:p>
        </w:tc>
      </w:tr>
      <w:tr w:rsidR="00F066A8" w:rsidRPr="0014653C" w14:paraId="5B56AC42" w14:textId="77777777" w:rsidTr="0069754E">
        <w:trPr>
          <w:trHeight w:val="147"/>
        </w:trPr>
        <w:tc>
          <w:tcPr>
            <w:tcW w:w="2127" w:type="dxa"/>
            <w:tcMar>
              <w:top w:w="28" w:type="dxa"/>
            </w:tcMar>
            <w:vAlign w:val="center"/>
          </w:tcPr>
          <w:p w14:paraId="509B6E28"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Superseded documents</w:t>
            </w:r>
          </w:p>
        </w:tc>
        <w:tc>
          <w:tcPr>
            <w:tcW w:w="6662" w:type="dxa"/>
            <w:tcMar>
              <w:top w:w="28" w:type="dxa"/>
            </w:tcMar>
            <w:vAlign w:val="center"/>
          </w:tcPr>
          <w:p w14:paraId="75DDDC3B" w14:textId="485C9118" w:rsidR="00F066A8" w:rsidRPr="0014653C" w:rsidRDefault="00F066A8" w:rsidP="0069754E">
            <w:pPr>
              <w:pStyle w:val="FooterText"/>
              <w:spacing w:after="28"/>
              <w:rPr>
                <w:color w:val="595959" w:themeColor="text1" w:themeTint="A6"/>
                <w:spacing w:val="0"/>
                <w:kern w:val="2"/>
              </w:rPr>
            </w:pPr>
            <w:r>
              <w:rPr>
                <w:color w:val="595959" w:themeColor="text1" w:themeTint="A6"/>
                <w:spacing w:val="0"/>
                <w:kern w:val="2"/>
              </w:rPr>
              <w:t>Assessment and Reporting Policy – v1.0 – 2021</w:t>
            </w:r>
          </w:p>
        </w:tc>
      </w:tr>
      <w:tr w:rsidR="00F066A8" w:rsidRPr="0014653C" w14:paraId="3454106A" w14:textId="77777777" w:rsidTr="0069754E">
        <w:trPr>
          <w:trHeight w:val="147"/>
        </w:trPr>
        <w:tc>
          <w:tcPr>
            <w:tcW w:w="2127" w:type="dxa"/>
            <w:tcMar>
              <w:top w:w="28" w:type="dxa"/>
            </w:tcMar>
            <w:vAlign w:val="center"/>
          </w:tcPr>
          <w:p w14:paraId="271B3E50" w14:textId="77777777" w:rsidR="00F066A8" w:rsidRPr="0014653C" w:rsidRDefault="00F066A8" w:rsidP="0069754E">
            <w:pPr>
              <w:pStyle w:val="FooterText"/>
              <w:spacing w:after="28"/>
              <w:rPr>
                <w:b/>
                <w:bCs/>
                <w:color w:val="595959" w:themeColor="text1" w:themeTint="A6"/>
                <w:spacing w:val="0"/>
                <w:kern w:val="2"/>
              </w:rPr>
            </w:pPr>
            <w:r w:rsidRPr="0014653C">
              <w:rPr>
                <w:b/>
                <w:bCs/>
                <w:color w:val="595959" w:themeColor="text1" w:themeTint="A6"/>
                <w:spacing w:val="0"/>
                <w:kern w:val="2"/>
              </w:rPr>
              <w:t>New policy</w:t>
            </w:r>
          </w:p>
        </w:tc>
        <w:tc>
          <w:tcPr>
            <w:tcW w:w="6662" w:type="dxa"/>
            <w:tcMar>
              <w:top w:w="28" w:type="dxa"/>
            </w:tcMar>
            <w:vAlign w:val="center"/>
          </w:tcPr>
          <w:p w14:paraId="5B3250D6" w14:textId="22373058" w:rsidR="00F066A8" w:rsidRPr="0014653C" w:rsidRDefault="00F066A8" w:rsidP="0069754E">
            <w:pPr>
              <w:pStyle w:val="FooterText"/>
              <w:spacing w:after="28"/>
              <w:rPr>
                <w:color w:val="595959" w:themeColor="text1" w:themeTint="A6"/>
                <w:spacing w:val="0"/>
                <w:kern w:val="2"/>
              </w:rPr>
            </w:pPr>
          </w:p>
        </w:tc>
      </w:tr>
    </w:tbl>
    <w:p w14:paraId="5266361B" w14:textId="77777777" w:rsidR="00F066A8" w:rsidRDefault="00F066A8" w:rsidP="006B324C">
      <w:pPr>
        <w:pStyle w:val="BodyText"/>
        <w:rPr>
          <w:lang w:eastAsia="en-AU"/>
        </w:rPr>
      </w:pPr>
    </w:p>
    <w:sectPr w:rsidR="00F066A8" w:rsidSect="0015033C">
      <w:footerReference w:type="default" r:id="rId18"/>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B603E" w14:textId="77777777" w:rsidR="00AE4804" w:rsidRDefault="00AE4804" w:rsidP="00063AC1">
      <w:pPr>
        <w:spacing w:after="0" w:line="240" w:lineRule="auto"/>
      </w:pPr>
      <w:r>
        <w:separator/>
      </w:r>
    </w:p>
  </w:endnote>
  <w:endnote w:type="continuationSeparator" w:id="0">
    <w:p w14:paraId="601FE8BA" w14:textId="77777777" w:rsidR="00AE4804" w:rsidRDefault="00AE4804" w:rsidP="0006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IN-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DEAB2" w14:textId="6CF6EF02" w:rsidR="00063AC1" w:rsidRPr="0015033C" w:rsidRDefault="0015033C" w:rsidP="0015033C">
    <w:pPr>
      <w:pStyle w:val="FooterText"/>
      <w:tabs>
        <w:tab w:val="right" w:pos="8789"/>
      </w:tabs>
      <w:rPr>
        <w:color w:val="595959" w:themeColor="text1" w:themeTint="A6"/>
      </w:rPr>
    </w:pPr>
    <w:r>
      <w:rPr>
        <w:b/>
        <w:noProof/>
        <w:color w:val="595959" w:themeColor="text1" w:themeTint="A6"/>
        <w:lang w:val="en-AU" w:eastAsia="en-AU"/>
      </w:rPr>
      <mc:AlternateContent>
        <mc:Choice Requires="wps">
          <w:drawing>
            <wp:anchor distT="0" distB="0" distL="114300" distR="114300" simplePos="0" relativeHeight="251659264" behindDoc="0" locked="0" layoutInCell="1" allowOverlap="1" wp14:anchorId="05716365" wp14:editId="69FED28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ED5D994" id="Straight Connector 1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" strokecolor="gray [1629]" strokeweight=".25pt">
              <v:stroke joinstyle="miter"/>
            </v:line>
          </w:pict>
        </mc:Fallback>
      </mc:AlternateContent>
    </w:r>
    <w:r w:rsidR="00283C0E">
      <w:rPr>
        <w:b/>
        <w:noProof/>
        <w:color w:val="595959" w:themeColor="text1" w:themeTint="A6"/>
        <w:lang w:val="en-AU" w:eastAsia="en-AU"/>
      </w:rPr>
      <w:t xml:space="preserve">D21/73032 </w:t>
    </w:r>
    <w:r w:rsidR="00DE4424">
      <w:rPr>
        <w:b/>
        <w:noProof/>
        <w:color w:val="595959" w:themeColor="text1" w:themeTint="A6"/>
        <w:lang w:val="en-AU" w:eastAsia="en-AU"/>
      </w:rPr>
      <w:t xml:space="preserve">School Assessment and Reporting Policy – </w:t>
    </w:r>
    <w:r w:rsidR="00F066A8">
      <w:rPr>
        <w:b/>
        <w:noProof/>
        <w:color w:val="595959" w:themeColor="text1" w:themeTint="A6"/>
        <w:lang w:val="en-AU" w:eastAsia="en-AU"/>
      </w:rPr>
      <w:t>Template for Schools – v2.0 – 2022</w:t>
    </w:r>
    <w:r w:rsidR="00DE4424">
      <w:rPr>
        <w:b/>
        <w:noProof/>
        <w:color w:val="595959" w:themeColor="text1" w:themeTint="A6"/>
        <w:lang w:val="en-AU" w:eastAsia="en-AU"/>
      </w:rPr>
      <w:t xml:space="preserve"> </w:t>
    </w:r>
    <w:r w:rsidRPr="00FD0BC5">
      <w:rPr>
        <w:rFonts w:asciiTheme="minorHAnsi" w:hAnsiTheme="minorHAnsi" w:cstheme="minorHAnsi"/>
        <w:color w:val="595959" w:themeColor="text1" w:themeTint="A6"/>
      </w:rPr>
      <w:tab/>
      <w:t xml:space="preserve">Page </w:t>
    </w:r>
    <w:r w:rsidRPr="00FD0BC5">
      <w:rPr>
        <w:rStyle w:val="PageNumber"/>
        <w:rFonts w:asciiTheme="minorHAnsi" w:hAnsiTheme="minorHAnsi" w:cstheme="minorHAnsi"/>
        <w:color w:val="595959" w:themeColor="text1" w:themeTint="A6"/>
        <w:spacing w:val="0"/>
        <w:lang w:val="en-US"/>
      </w:rPr>
      <w:fldChar w:fldCharType="begin"/>
    </w:r>
    <w:r w:rsidRPr="00FD0BC5">
      <w:rPr>
        <w:rStyle w:val="PageNumber"/>
        <w:rFonts w:asciiTheme="minorHAnsi" w:hAnsiTheme="minorHAnsi" w:cstheme="minorHAnsi"/>
        <w:color w:val="595959" w:themeColor="text1" w:themeTint="A6"/>
        <w:spacing w:val="0"/>
        <w:lang w:val="en-US"/>
      </w:rPr>
      <w:instrText xml:space="preserve"> PAGE </w:instrText>
    </w:r>
    <w:r w:rsidRPr="00FD0BC5">
      <w:rPr>
        <w:rStyle w:val="PageNumber"/>
        <w:rFonts w:asciiTheme="minorHAnsi" w:hAnsiTheme="minorHAnsi" w:cstheme="minorHAnsi"/>
        <w:color w:val="595959" w:themeColor="text1" w:themeTint="A6"/>
        <w:spacing w:val="0"/>
        <w:lang w:val="en-US"/>
      </w:rPr>
      <w:fldChar w:fldCharType="separate"/>
    </w:r>
    <w:r w:rsidR="00A7173D">
      <w:rPr>
        <w:rStyle w:val="PageNumber"/>
        <w:rFonts w:asciiTheme="minorHAnsi" w:hAnsiTheme="minorHAnsi" w:cstheme="minorHAnsi"/>
        <w:noProof/>
        <w:color w:val="595959" w:themeColor="text1" w:themeTint="A6"/>
        <w:spacing w:val="0"/>
        <w:lang w:val="en-US"/>
      </w:rPr>
      <w:t>1</w:t>
    </w:r>
    <w:r w:rsidRPr="00FD0BC5">
      <w:rPr>
        <w:rStyle w:val="PageNumber"/>
        <w:rFonts w:asciiTheme="minorHAnsi" w:hAnsiTheme="minorHAnsi" w:cstheme="minorHAnsi"/>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C716F" w14:textId="77777777" w:rsidR="00AE4804" w:rsidRDefault="00AE4804" w:rsidP="00063AC1">
      <w:pPr>
        <w:spacing w:after="0" w:line="240" w:lineRule="auto"/>
      </w:pPr>
      <w:r>
        <w:separator/>
      </w:r>
    </w:p>
  </w:footnote>
  <w:footnote w:type="continuationSeparator" w:id="0">
    <w:p w14:paraId="76FBEF43" w14:textId="77777777" w:rsidR="00AE4804" w:rsidRDefault="00AE4804" w:rsidP="0006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D92"/>
    <w:multiLevelType w:val="hybridMultilevel"/>
    <w:tmpl w:val="3DCAE2D0"/>
    <w:lvl w:ilvl="0" w:tplc="45D446C6">
      <w:start w:val="1"/>
      <w:numFmt w:val="bullet"/>
      <w:lvlText w:val="-"/>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24496"/>
    <w:multiLevelType w:val="hybridMultilevel"/>
    <w:tmpl w:val="D5D29018"/>
    <w:lvl w:ilvl="0" w:tplc="04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27258"/>
    <w:multiLevelType w:val="hybridMultilevel"/>
    <w:tmpl w:val="8E1410CE"/>
    <w:lvl w:ilvl="0" w:tplc="0100B666">
      <w:start w:val="1"/>
      <w:numFmt w:val="bullet"/>
      <w:pStyle w:val="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FC22A0"/>
    <w:multiLevelType w:val="hybridMultilevel"/>
    <w:tmpl w:val="2E6EB29C"/>
    <w:lvl w:ilvl="0" w:tplc="BC30314A">
      <w:start w:val="1"/>
      <w:numFmt w:val="bullet"/>
      <w:lvlText w:val="•"/>
      <w:lvlJc w:val="left"/>
      <w:pPr>
        <w:ind w:left="1243"/>
      </w:pPr>
      <w:rPr>
        <w:rFonts w:ascii="Arial" w:eastAsia="Arial" w:hAnsi="Arial" w:cs="Arial"/>
        <w:b w:val="0"/>
        <w:i w:val="0"/>
        <w:strike w:val="0"/>
        <w:dstrike w:val="0"/>
        <w:color w:val="0B0C1D"/>
        <w:sz w:val="22"/>
        <w:szCs w:val="22"/>
        <w:u w:val="none" w:color="000000"/>
        <w:bdr w:val="none" w:sz="0" w:space="0" w:color="auto"/>
        <w:shd w:val="clear" w:color="auto" w:fill="auto"/>
        <w:vertAlign w:val="baseline"/>
      </w:rPr>
    </w:lvl>
    <w:lvl w:ilvl="1" w:tplc="6F36F32E">
      <w:start w:val="1"/>
      <w:numFmt w:val="bullet"/>
      <w:lvlText w:val="o"/>
      <w:lvlJc w:val="left"/>
      <w:pPr>
        <w:ind w:left="1656"/>
      </w:pPr>
      <w:rPr>
        <w:rFonts w:ascii="Segoe UI Symbol" w:eastAsia="Segoe UI Symbol" w:hAnsi="Segoe UI Symbol" w:cs="Segoe UI Symbol"/>
        <w:b w:val="0"/>
        <w:i w:val="0"/>
        <w:strike w:val="0"/>
        <w:dstrike w:val="0"/>
        <w:color w:val="0B0C1D"/>
        <w:sz w:val="22"/>
        <w:szCs w:val="22"/>
        <w:u w:val="none" w:color="000000"/>
        <w:bdr w:val="none" w:sz="0" w:space="0" w:color="auto"/>
        <w:shd w:val="clear" w:color="auto" w:fill="auto"/>
        <w:vertAlign w:val="baseline"/>
      </w:rPr>
    </w:lvl>
    <w:lvl w:ilvl="2" w:tplc="D4E0100C">
      <w:start w:val="1"/>
      <w:numFmt w:val="bullet"/>
      <w:lvlText w:val="▪"/>
      <w:lvlJc w:val="left"/>
      <w:pPr>
        <w:ind w:left="2376"/>
      </w:pPr>
      <w:rPr>
        <w:rFonts w:ascii="Segoe UI Symbol" w:eastAsia="Segoe UI Symbol" w:hAnsi="Segoe UI Symbol" w:cs="Segoe UI Symbol"/>
        <w:b w:val="0"/>
        <w:i w:val="0"/>
        <w:strike w:val="0"/>
        <w:dstrike w:val="0"/>
        <w:color w:val="0B0C1D"/>
        <w:sz w:val="22"/>
        <w:szCs w:val="22"/>
        <w:u w:val="none" w:color="000000"/>
        <w:bdr w:val="none" w:sz="0" w:space="0" w:color="auto"/>
        <w:shd w:val="clear" w:color="auto" w:fill="auto"/>
        <w:vertAlign w:val="baseline"/>
      </w:rPr>
    </w:lvl>
    <w:lvl w:ilvl="3" w:tplc="1E200290">
      <w:start w:val="1"/>
      <w:numFmt w:val="bullet"/>
      <w:lvlText w:val="•"/>
      <w:lvlJc w:val="left"/>
      <w:pPr>
        <w:ind w:left="3096"/>
      </w:pPr>
      <w:rPr>
        <w:rFonts w:ascii="Arial" w:eastAsia="Arial" w:hAnsi="Arial" w:cs="Arial"/>
        <w:b w:val="0"/>
        <w:i w:val="0"/>
        <w:strike w:val="0"/>
        <w:dstrike w:val="0"/>
        <w:color w:val="0B0C1D"/>
        <w:sz w:val="22"/>
        <w:szCs w:val="22"/>
        <w:u w:val="none" w:color="000000"/>
        <w:bdr w:val="none" w:sz="0" w:space="0" w:color="auto"/>
        <w:shd w:val="clear" w:color="auto" w:fill="auto"/>
        <w:vertAlign w:val="baseline"/>
      </w:rPr>
    </w:lvl>
    <w:lvl w:ilvl="4" w:tplc="C71C2B9A">
      <w:start w:val="1"/>
      <w:numFmt w:val="bullet"/>
      <w:lvlText w:val="o"/>
      <w:lvlJc w:val="left"/>
      <w:pPr>
        <w:ind w:left="3816"/>
      </w:pPr>
      <w:rPr>
        <w:rFonts w:ascii="Segoe UI Symbol" w:eastAsia="Segoe UI Symbol" w:hAnsi="Segoe UI Symbol" w:cs="Segoe UI Symbol"/>
        <w:b w:val="0"/>
        <w:i w:val="0"/>
        <w:strike w:val="0"/>
        <w:dstrike w:val="0"/>
        <w:color w:val="0B0C1D"/>
        <w:sz w:val="22"/>
        <w:szCs w:val="22"/>
        <w:u w:val="none" w:color="000000"/>
        <w:bdr w:val="none" w:sz="0" w:space="0" w:color="auto"/>
        <w:shd w:val="clear" w:color="auto" w:fill="auto"/>
        <w:vertAlign w:val="baseline"/>
      </w:rPr>
    </w:lvl>
    <w:lvl w:ilvl="5" w:tplc="329E1E96">
      <w:start w:val="1"/>
      <w:numFmt w:val="bullet"/>
      <w:lvlText w:val="▪"/>
      <w:lvlJc w:val="left"/>
      <w:pPr>
        <w:ind w:left="4536"/>
      </w:pPr>
      <w:rPr>
        <w:rFonts w:ascii="Segoe UI Symbol" w:eastAsia="Segoe UI Symbol" w:hAnsi="Segoe UI Symbol" w:cs="Segoe UI Symbol"/>
        <w:b w:val="0"/>
        <w:i w:val="0"/>
        <w:strike w:val="0"/>
        <w:dstrike w:val="0"/>
        <w:color w:val="0B0C1D"/>
        <w:sz w:val="22"/>
        <w:szCs w:val="22"/>
        <w:u w:val="none" w:color="000000"/>
        <w:bdr w:val="none" w:sz="0" w:space="0" w:color="auto"/>
        <w:shd w:val="clear" w:color="auto" w:fill="auto"/>
        <w:vertAlign w:val="baseline"/>
      </w:rPr>
    </w:lvl>
    <w:lvl w:ilvl="6" w:tplc="E5A6A40C">
      <w:start w:val="1"/>
      <w:numFmt w:val="bullet"/>
      <w:lvlText w:val="•"/>
      <w:lvlJc w:val="left"/>
      <w:pPr>
        <w:ind w:left="5256"/>
      </w:pPr>
      <w:rPr>
        <w:rFonts w:ascii="Arial" w:eastAsia="Arial" w:hAnsi="Arial" w:cs="Arial"/>
        <w:b w:val="0"/>
        <w:i w:val="0"/>
        <w:strike w:val="0"/>
        <w:dstrike w:val="0"/>
        <w:color w:val="0B0C1D"/>
        <w:sz w:val="22"/>
        <w:szCs w:val="22"/>
        <w:u w:val="none" w:color="000000"/>
        <w:bdr w:val="none" w:sz="0" w:space="0" w:color="auto"/>
        <w:shd w:val="clear" w:color="auto" w:fill="auto"/>
        <w:vertAlign w:val="baseline"/>
      </w:rPr>
    </w:lvl>
    <w:lvl w:ilvl="7" w:tplc="045699E6">
      <w:start w:val="1"/>
      <w:numFmt w:val="bullet"/>
      <w:lvlText w:val="o"/>
      <w:lvlJc w:val="left"/>
      <w:pPr>
        <w:ind w:left="5976"/>
      </w:pPr>
      <w:rPr>
        <w:rFonts w:ascii="Segoe UI Symbol" w:eastAsia="Segoe UI Symbol" w:hAnsi="Segoe UI Symbol" w:cs="Segoe UI Symbol"/>
        <w:b w:val="0"/>
        <w:i w:val="0"/>
        <w:strike w:val="0"/>
        <w:dstrike w:val="0"/>
        <w:color w:val="0B0C1D"/>
        <w:sz w:val="22"/>
        <w:szCs w:val="22"/>
        <w:u w:val="none" w:color="000000"/>
        <w:bdr w:val="none" w:sz="0" w:space="0" w:color="auto"/>
        <w:shd w:val="clear" w:color="auto" w:fill="auto"/>
        <w:vertAlign w:val="baseline"/>
      </w:rPr>
    </w:lvl>
    <w:lvl w:ilvl="8" w:tplc="8A2C3950">
      <w:start w:val="1"/>
      <w:numFmt w:val="bullet"/>
      <w:lvlText w:val="▪"/>
      <w:lvlJc w:val="left"/>
      <w:pPr>
        <w:ind w:left="6696"/>
      </w:pPr>
      <w:rPr>
        <w:rFonts w:ascii="Segoe UI Symbol" w:eastAsia="Segoe UI Symbol" w:hAnsi="Segoe UI Symbol" w:cs="Segoe UI Symbol"/>
        <w:b w:val="0"/>
        <w:i w:val="0"/>
        <w:strike w:val="0"/>
        <w:dstrike w:val="0"/>
        <w:color w:val="0B0C1D"/>
        <w:sz w:val="22"/>
        <w:szCs w:val="22"/>
        <w:u w:val="none" w:color="000000"/>
        <w:bdr w:val="none" w:sz="0" w:space="0" w:color="auto"/>
        <w:shd w:val="clear" w:color="auto" w:fill="auto"/>
        <w:vertAlign w:val="baseline"/>
      </w:rPr>
    </w:lvl>
  </w:abstractNum>
  <w:abstractNum w:abstractNumId="4" w15:restartNumberingAfterBreak="0">
    <w:nsid w:val="335C096C"/>
    <w:multiLevelType w:val="hybridMultilevel"/>
    <w:tmpl w:val="53BCE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D770F9"/>
    <w:multiLevelType w:val="hybridMultilevel"/>
    <w:tmpl w:val="386CF79A"/>
    <w:lvl w:ilvl="0" w:tplc="0C090001">
      <w:start w:val="1"/>
      <w:numFmt w:val="bullet"/>
      <w:lvlText w:val=""/>
      <w:lvlJc w:val="left"/>
      <w:pPr>
        <w:ind w:left="1614" w:hanging="360"/>
      </w:pPr>
      <w:rPr>
        <w:rFonts w:ascii="Symbol" w:hAnsi="Symbol" w:hint="default"/>
      </w:rPr>
    </w:lvl>
    <w:lvl w:ilvl="1" w:tplc="0C090003" w:tentative="1">
      <w:start w:val="1"/>
      <w:numFmt w:val="bullet"/>
      <w:lvlText w:val="o"/>
      <w:lvlJc w:val="left"/>
      <w:pPr>
        <w:ind w:left="2334" w:hanging="360"/>
      </w:pPr>
      <w:rPr>
        <w:rFonts w:ascii="Courier New" w:hAnsi="Courier New" w:cs="Courier New" w:hint="default"/>
      </w:rPr>
    </w:lvl>
    <w:lvl w:ilvl="2" w:tplc="0C090005" w:tentative="1">
      <w:start w:val="1"/>
      <w:numFmt w:val="bullet"/>
      <w:lvlText w:val=""/>
      <w:lvlJc w:val="left"/>
      <w:pPr>
        <w:ind w:left="3054" w:hanging="360"/>
      </w:pPr>
      <w:rPr>
        <w:rFonts w:ascii="Wingdings" w:hAnsi="Wingdings" w:hint="default"/>
      </w:rPr>
    </w:lvl>
    <w:lvl w:ilvl="3" w:tplc="0C090001" w:tentative="1">
      <w:start w:val="1"/>
      <w:numFmt w:val="bullet"/>
      <w:lvlText w:val=""/>
      <w:lvlJc w:val="left"/>
      <w:pPr>
        <w:ind w:left="3774" w:hanging="360"/>
      </w:pPr>
      <w:rPr>
        <w:rFonts w:ascii="Symbol" w:hAnsi="Symbol" w:hint="default"/>
      </w:rPr>
    </w:lvl>
    <w:lvl w:ilvl="4" w:tplc="0C090003" w:tentative="1">
      <w:start w:val="1"/>
      <w:numFmt w:val="bullet"/>
      <w:lvlText w:val="o"/>
      <w:lvlJc w:val="left"/>
      <w:pPr>
        <w:ind w:left="4494" w:hanging="360"/>
      </w:pPr>
      <w:rPr>
        <w:rFonts w:ascii="Courier New" w:hAnsi="Courier New" w:cs="Courier New" w:hint="default"/>
      </w:rPr>
    </w:lvl>
    <w:lvl w:ilvl="5" w:tplc="0C090005" w:tentative="1">
      <w:start w:val="1"/>
      <w:numFmt w:val="bullet"/>
      <w:lvlText w:val=""/>
      <w:lvlJc w:val="left"/>
      <w:pPr>
        <w:ind w:left="5214" w:hanging="360"/>
      </w:pPr>
      <w:rPr>
        <w:rFonts w:ascii="Wingdings" w:hAnsi="Wingdings" w:hint="default"/>
      </w:rPr>
    </w:lvl>
    <w:lvl w:ilvl="6" w:tplc="0C090001" w:tentative="1">
      <w:start w:val="1"/>
      <w:numFmt w:val="bullet"/>
      <w:lvlText w:val=""/>
      <w:lvlJc w:val="left"/>
      <w:pPr>
        <w:ind w:left="5934" w:hanging="360"/>
      </w:pPr>
      <w:rPr>
        <w:rFonts w:ascii="Symbol" w:hAnsi="Symbol" w:hint="default"/>
      </w:rPr>
    </w:lvl>
    <w:lvl w:ilvl="7" w:tplc="0C090003" w:tentative="1">
      <w:start w:val="1"/>
      <w:numFmt w:val="bullet"/>
      <w:lvlText w:val="o"/>
      <w:lvlJc w:val="left"/>
      <w:pPr>
        <w:ind w:left="6654" w:hanging="360"/>
      </w:pPr>
      <w:rPr>
        <w:rFonts w:ascii="Courier New" w:hAnsi="Courier New" w:cs="Courier New" w:hint="default"/>
      </w:rPr>
    </w:lvl>
    <w:lvl w:ilvl="8" w:tplc="0C090005" w:tentative="1">
      <w:start w:val="1"/>
      <w:numFmt w:val="bullet"/>
      <w:lvlText w:val=""/>
      <w:lvlJc w:val="left"/>
      <w:pPr>
        <w:ind w:left="7374" w:hanging="360"/>
      </w:pPr>
      <w:rPr>
        <w:rFonts w:ascii="Wingdings" w:hAnsi="Wingdings" w:hint="default"/>
      </w:rPr>
    </w:lvl>
  </w:abstractNum>
  <w:abstractNum w:abstractNumId="6" w15:restartNumberingAfterBreak="0">
    <w:nsid w:val="768A55D5"/>
    <w:multiLevelType w:val="hybridMultilevel"/>
    <w:tmpl w:val="3AC4E87A"/>
    <w:lvl w:ilvl="0" w:tplc="0C090001">
      <w:start w:val="1"/>
      <w:numFmt w:val="bullet"/>
      <w:lvlText w:val=""/>
      <w:lvlJc w:val="left"/>
      <w:pPr>
        <w:ind w:left="894" w:hanging="360"/>
      </w:pPr>
      <w:rPr>
        <w:rFonts w:ascii="Symbol" w:hAnsi="Symbol" w:hint="default"/>
      </w:rPr>
    </w:lvl>
    <w:lvl w:ilvl="1" w:tplc="0C090003" w:tentative="1">
      <w:start w:val="1"/>
      <w:numFmt w:val="bullet"/>
      <w:lvlText w:val="o"/>
      <w:lvlJc w:val="left"/>
      <w:pPr>
        <w:ind w:left="1614" w:hanging="360"/>
      </w:pPr>
      <w:rPr>
        <w:rFonts w:ascii="Courier New" w:hAnsi="Courier New" w:cs="Courier New" w:hint="default"/>
      </w:rPr>
    </w:lvl>
    <w:lvl w:ilvl="2" w:tplc="0C090005" w:tentative="1">
      <w:start w:val="1"/>
      <w:numFmt w:val="bullet"/>
      <w:lvlText w:val=""/>
      <w:lvlJc w:val="left"/>
      <w:pPr>
        <w:ind w:left="2334" w:hanging="360"/>
      </w:pPr>
      <w:rPr>
        <w:rFonts w:ascii="Wingdings" w:hAnsi="Wingdings" w:hint="default"/>
      </w:rPr>
    </w:lvl>
    <w:lvl w:ilvl="3" w:tplc="0C090001" w:tentative="1">
      <w:start w:val="1"/>
      <w:numFmt w:val="bullet"/>
      <w:lvlText w:val=""/>
      <w:lvlJc w:val="left"/>
      <w:pPr>
        <w:ind w:left="3054" w:hanging="360"/>
      </w:pPr>
      <w:rPr>
        <w:rFonts w:ascii="Symbol" w:hAnsi="Symbol" w:hint="default"/>
      </w:rPr>
    </w:lvl>
    <w:lvl w:ilvl="4" w:tplc="0C090003" w:tentative="1">
      <w:start w:val="1"/>
      <w:numFmt w:val="bullet"/>
      <w:lvlText w:val="o"/>
      <w:lvlJc w:val="left"/>
      <w:pPr>
        <w:ind w:left="3774" w:hanging="360"/>
      </w:pPr>
      <w:rPr>
        <w:rFonts w:ascii="Courier New" w:hAnsi="Courier New" w:cs="Courier New" w:hint="default"/>
      </w:rPr>
    </w:lvl>
    <w:lvl w:ilvl="5" w:tplc="0C090005" w:tentative="1">
      <w:start w:val="1"/>
      <w:numFmt w:val="bullet"/>
      <w:lvlText w:val=""/>
      <w:lvlJc w:val="left"/>
      <w:pPr>
        <w:ind w:left="4494" w:hanging="360"/>
      </w:pPr>
      <w:rPr>
        <w:rFonts w:ascii="Wingdings" w:hAnsi="Wingdings" w:hint="default"/>
      </w:rPr>
    </w:lvl>
    <w:lvl w:ilvl="6" w:tplc="0C090001" w:tentative="1">
      <w:start w:val="1"/>
      <w:numFmt w:val="bullet"/>
      <w:lvlText w:val=""/>
      <w:lvlJc w:val="left"/>
      <w:pPr>
        <w:ind w:left="5214" w:hanging="360"/>
      </w:pPr>
      <w:rPr>
        <w:rFonts w:ascii="Symbol" w:hAnsi="Symbol" w:hint="default"/>
      </w:rPr>
    </w:lvl>
    <w:lvl w:ilvl="7" w:tplc="0C090003" w:tentative="1">
      <w:start w:val="1"/>
      <w:numFmt w:val="bullet"/>
      <w:lvlText w:val="o"/>
      <w:lvlJc w:val="left"/>
      <w:pPr>
        <w:ind w:left="5934" w:hanging="360"/>
      </w:pPr>
      <w:rPr>
        <w:rFonts w:ascii="Courier New" w:hAnsi="Courier New" w:cs="Courier New" w:hint="default"/>
      </w:rPr>
    </w:lvl>
    <w:lvl w:ilvl="8" w:tplc="0C090005" w:tentative="1">
      <w:start w:val="1"/>
      <w:numFmt w:val="bullet"/>
      <w:lvlText w:val=""/>
      <w:lvlJc w:val="left"/>
      <w:pPr>
        <w:ind w:left="6654" w:hanging="360"/>
      </w:pPr>
      <w:rPr>
        <w:rFonts w:ascii="Wingdings" w:hAnsi="Wingdings" w:hint="default"/>
      </w:rPr>
    </w:lvl>
  </w:abstractNum>
  <w:abstractNum w:abstractNumId="7" w15:restartNumberingAfterBreak="0">
    <w:nsid w:val="7D087147"/>
    <w:multiLevelType w:val="hybridMultilevel"/>
    <w:tmpl w:val="05FACC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3A"/>
    <w:rsid w:val="00034D69"/>
    <w:rsid w:val="0004445F"/>
    <w:rsid w:val="00063AC1"/>
    <w:rsid w:val="000C66F8"/>
    <w:rsid w:val="00101321"/>
    <w:rsid w:val="0015033C"/>
    <w:rsid w:val="001C3012"/>
    <w:rsid w:val="00200769"/>
    <w:rsid w:val="002130E2"/>
    <w:rsid w:val="002478FA"/>
    <w:rsid w:val="00283C0E"/>
    <w:rsid w:val="002D38F1"/>
    <w:rsid w:val="002E370C"/>
    <w:rsid w:val="002E6839"/>
    <w:rsid w:val="003826C0"/>
    <w:rsid w:val="00427143"/>
    <w:rsid w:val="00434AC7"/>
    <w:rsid w:val="00456B04"/>
    <w:rsid w:val="005B491E"/>
    <w:rsid w:val="006025C0"/>
    <w:rsid w:val="00611C7F"/>
    <w:rsid w:val="00624622"/>
    <w:rsid w:val="006470DD"/>
    <w:rsid w:val="00677362"/>
    <w:rsid w:val="006B324C"/>
    <w:rsid w:val="006B5961"/>
    <w:rsid w:val="006D4193"/>
    <w:rsid w:val="00724C47"/>
    <w:rsid w:val="00725E30"/>
    <w:rsid w:val="00764651"/>
    <w:rsid w:val="007971C9"/>
    <w:rsid w:val="0093717F"/>
    <w:rsid w:val="00945E35"/>
    <w:rsid w:val="00952E20"/>
    <w:rsid w:val="00955A83"/>
    <w:rsid w:val="009C21A1"/>
    <w:rsid w:val="009F3077"/>
    <w:rsid w:val="00A159AD"/>
    <w:rsid w:val="00A307EA"/>
    <w:rsid w:val="00A35EB1"/>
    <w:rsid w:val="00A3673A"/>
    <w:rsid w:val="00A7173D"/>
    <w:rsid w:val="00AE38CB"/>
    <w:rsid w:val="00AE4804"/>
    <w:rsid w:val="00B13FA1"/>
    <w:rsid w:val="00C3189B"/>
    <w:rsid w:val="00C51E99"/>
    <w:rsid w:val="00D17454"/>
    <w:rsid w:val="00D2304E"/>
    <w:rsid w:val="00D81295"/>
    <w:rsid w:val="00DB28C9"/>
    <w:rsid w:val="00DE08F9"/>
    <w:rsid w:val="00DE4424"/>
    <w:rsid w:val="00E0536A"/>
    <w:rsid w:val="00E1226B"/>
    <w:rsid w:val="00E343DF"/>
    <w:rsid w:val="00E91CBF"/>
    <w:rsid w:val="00E926E6"/>
    <w:rsid w:val="00EF446C"/>
    <w:rsid w:val="00F0657F"/>
    <w:rsid w:val="00F066A8"/>
    <w:rsid w:val="00F22BE4"/>
    <w:rsid w:val="00F44154"/>
    <w:rsid w:val="00F82B78"/>
    <w:rsid w:val="00FD3511"/>
    <w:rsid w:val="00FD71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9C035"/>
  <w15:chartTrackingRefBased/>
  <w15:docId w15:val="{D89D8A37-08D5-4272-8778-C87C36AD9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677362"/>
    <w:pPr>
      <w:keepNext/>
      <w:keepLines/>
      <w:spacing w:before="240" w:after="120" w:line="216" w:lineRule="auto"/>
      <w:outlineLvl w:val="0"/>
    </w:pPr>
    <w:rPr>
      <w:rFonts w:eastAsia="Calibri" w:cstheme="minorHAnsi"/>
      <w:color w:val="00A8D6"/>
      <w:sz w:val="40"/>
      <w:szCs w:val="32"/>
      <w:lang w:val="en-US" w:eastAsia="en-AU"/>
    </w:rPr>
  </w:style>
  <w:style w:type="paragraph" w:styleId="Heading2">
    <w:name w:val="heading 2"/>
    <w:basedOn w:val="Normal"/>
    <w:next w:val="Normal"/>
    <w:link w:val="Heading2Char"/>
    <w:uiPriority w:val="9"/>
    <w:unhideWhenUsed/>
    <w:qFormat/>
    <w:rsid w:val="0015033C"/>
    <w:pPr>
      <w:spacing w:before="120" w:after="5" w:line="269" w:lineRule="auto"/>
      <w:ind w:right="113"/>
      <w:outlineLvl w:val="1"/>
    </w:pPr>
    <w:rPr>
      <w:rFonts w:ascii="Calibri" w:eastAsia="Calibri" w:hAnsi="Calibri" w:cs="Calibri"/>
      <w:b/>
      <w:color w:val="00A8D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A3673A"/>
    <w:pPr>
      <w:spacing w:after="0" w:line="240" w:lineRule="auto"/>
    </w:pPr>
    <w:rPr>
      <w:rFonts w:eastAsiaTheme="minorEastAsia"/>
      <w:lang w:eastAsia="en-AU"/>
    </w:rPr>
    <w:tblPr>
      <w:tblCellMar>
        <w:top w:w="0" w:type="dxa"/>
        <w:left w:w="0" w:type="dxa"/>
        <w:bottom w:w="0" w:type="dxa"/>
        <w:right w:w="0" w:type="dxa"/>
      </w:tblCellMar>
    </w:tblPr>
  </w:style>
  <w:style w:type="paragraph" w:styleId="Header">
    <w:name w:val="header"/>
    <w:basedOn w:val="Normal"/>
    <w:link w:val="HeaderChar"/>
    <w:uiPriority w:val="99"/>
    <w:unhideWhenUsed/>
    <w:rsid w:val="0006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AC1"/>
  </w:style>
  <w:style w:type="paragraph" w:styleId="Footer">
    <w:name w:val="footer"/>
    <w:basedOn w:val="Normal"/>
    <w:link w:val="FooterChar"/>
    <w:uiPriority w:val="99"/>
    <w:unhideWhenUsed/>
    <w:rsid w:val="0006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AC1"/>
  </w:style>
  <w:style w:type="paragraph" w:styleId="ListParagraph">
    <w:name w:val="List Paragraph"/>
    <w:basedOn w:val="Normal"/>
    <w:uiPriority w:val="34"/>
    <w:qFormat/>
    <w:rsid w:val="00200769"/>
    <w:pPr>
      <w:ind w:left="720"/>
      <w:contextualSpacing/>
    </w:pPr>
  </w:style>
  <w:style w:type="character" w:customStyle="1" w:styleId="Heading1Char">
    <w:name w:val="Heading 1 Char"/>
    <w:basedOn w:val="DefaultParagraphFont"/>
    <w:link w:val="Heading1"/>
    <w:uiPriority w:val="9"/>
    <w:rsid w:val="00677362"/>
    <w:rPr>
      <w:rFonts w:eastAsia="Calibri" w:cstheme="minorHAnsi"/>
      <w:color w:val="00A8D6"/>
      <w:sz w:val="40"/>
      <w:szCs w:val="32"/>
      <w:lang w:val="en-US" w:eastAsia="en-AU"/>
    </w:rPr>
  </w:style>
  <w:style w:type="character" w:customStyle="1" w:styleId="Heading2Char">
    <w:name w:val="Heading 2 Char"/>
    <w:basedOn w:val="DefaultParagraphFont"/>
    <w:link w:val="Heading2"/>
    <w:uiPriority w:val="9"/>
    <w:rsid w:val="0015033C"/>
    <w:rPr>
      <w:rFonts w:ascii="Calibri" w:eastAsia="Calibri" w:hAnsi="Calibri" w:cs="Calibri"/>
      <w:b/>
      <w:color w:val="00A8D6"/>
      <w:sz w:val="26"/>
      <w:szCs w:val="26"/>
    </w:rPr>
  </w:style>
  <w:style w:type="paragraph" w:styleId="BodyText">
    <w:name w:val="Body Text"/>
    <w:basedOn w:val="Normal"/>
    <w:link w:val="BodyTextChar"/>
    <w:uiPriority w:val="99"/>
    <w:unhideWhenUsed/>
    <w:rsid w:val="001C3012"/>
    <w:pPr>
      <w:spacing w:before="60" w:after="200" w:line="240" w:lineRule="auto"/>
    </w:pPr>
    <w:rPr>
      <w:color w:val="585858"/>
      <w:sz w:val="21"/>
    </w:rPr>
  </w:style>
  <w:style w:type="character" w:customStyle="1" w:styleId="BodyTextChar">
    <w:name w:val="Body Text Char"/>
    <w:basedOn w:val="DefaultParagraphFont"/>
    <w:link w:val="BodyText"/>
    <w:uiPriority w:val="99"/>
    <w:rsid w:val="001C3012"/>
    <w:rPr>
      <w:color w:val="585858"/>
      <w:sz w:val="21"/>
    </w:rPr>
  </w:style>
  <w:style w:type="paragraph" w:customStyle="1" w:styleId="FooterText">
    <w:name w:val="Footer Text"/>
    <w:basedOn w:val="Normal"/>
    <w:qFormat/>
    <w:rsid w:val="0015033C"/>
    <w:pPr>
      <w:widowControl w:val="0"/>
      <w:tabs>
        <w:tab w:val="left" w:pos="142"/>
        <w:tab w:val="left" w:pos="227"/>
      </w:tabs>
      <w:autoSpaceDE w:val="0"/>
      <w:autoSpaceDN w:val="0"/>
      <w:adjustRightInd w:val="0"/>
      <w:spacing w:before="28" w:after="0" w:line="240" w:lineRule="auto"/>
      <w:textAlignment w:val="center"/>
    </w:pPr>
    <w:rPr>
      <w:rFonts w:ascii="Calibri" w:eastAsiaTheme="minorEastAsia" w:hAnsi="Calibri" w:cs="DIN-Light"/>
      <w:color w:val="404040" w:themeColor="text1" w:themeTint="BF"/>
      <w:spacing w:val="-2"/>
      <w:sz w:val="16"/>
      <w:szCs w:val="16"/>
      <w:lang w:val="en-GB"/>
    </w:rPr>
  </w:style>
  <w:style w:type="paragraph" w:styleId="List">
    <w:name w:val="List"/>
    <w:basedOn w:val="Normal"/>
    <w:uiPriority w:val="99"/>
    <w:unhideWhenUsed/>
    <w:rsid w:val="0015033C"/>
    <w:pPr>
      <w:numPr>
        <w:numId w:val="7"/>
      </w:numPr>
      <w:contextualSpacing/>
    </w:pPr>
    <w:rPr>
      <w:color w:val="595959"/>
      <w:sz w:val="21"/>
    </w:rPr>
  </w:style>
  <w:style w:type="character" w:styleId="PageNumber">
    <w:name w:val="page number"/>
    <w:basedOn w:val="DefaultParagraphFont"/>
    <w:uiPriority w:val="99"/>
    <w:semiHidden/>
    <w:unhideWhenUsed/>
    <w:rsid w:val="0015033C"/>
  </w:style>
  <w:style w:type="character" w:styleId="CommentReference">
    <w:name w:val="annotation reference"/>
    <w:basedOn w:val="DefaultParagraphFont"/>
    <w:uiPriority w:val="99"/>
    <w:semiHidden/>
    <w:unhideWhenUsed/>
    <w:rsid w:val="00FD3511"/>
    <w:rPr>
      <w:sz w:val="16"/>
      <w:szCs w:val="16"/>
    </w:rPr>
  </w:style>
  <w:style w:type="paragraph" w:styleId="CommentText">
    <w:name w:val="annotation text"/>
    <w:basedOn w:val="Normal"/>
    <w:link w:val="CommentTextChar"/>
    <w:uiPriority w:val="99"/>
    <w:semiHidden/>
    <w:unhideWhenUsed/>
    <w:rsid w:val="00FD3511"/>
    <w:pPr>
      <w:spacing w:line="240" w:lineRule="auto"/>
    </w:pPr>
    <w:rPr>
      <w:sz w:val="20"/>
      <w:szCs w:val="20"/>
    </w:rPr>
  </w:style>
  <w:style w:type="character" w:customStyle="1" w:styleId="CommentTextChar">
    <w:name w:val="Comment Text Char"/>
    <w:basedOn w:val="DefaultParagraphFont"/>
    <w:link w:val="CommentText"/>
    <w:uiPriority w:val="99"/>
    <w:semiHidden/>
    <w:rsid w:val="00FD3511"/>
    <w:rPr>
      <w:sz w:val="20"/>
      <w:szCs w:val="20"/>
    </w:rPr>
  </w:style>
  <w:style w:type="paragraph" w:styleId="CommentSubject">
    <w:name w:val="annotation subject"/>
    <w:basedOn w:val="CommentText"/>
    <w:next w:val="CommentText"/>
    <w:link w:val="CommentSubjectChar"/>
    <w:uiPriority w:val="99"/>
    <w:semiHidden/>
    <w:unhideWhenUsed/>
    <w:rsid w:val="00FD3511"/>
    <w:rPr>
      <w:b/>
      <w:bCs/>
    </w:rPr>
  </w:style>
  <w:style w:type="character" w:customStyle="1" w:styleId="CommentSubjectChar">
    <w:name w:val="Comment Subject Char"/>
    <w:basedOn w:val="CommentTextChar"/>
    <w:link w:val="CommentSubject"/>
    <w:uiPriority w:val="99"/>
    <w:semiHidden/>
    <w:rsid w:val="00FD3511"/>
    <w:rPr>
      <w:b/>
      <w:bCs/>
      <w:sz w:val="20"/>
      <w:szCs w:val="20"/>
    </w:rPr>
  </w:style>
  <w:style w:type="paragraph" w:styleId="BalloonText">
    <w:name w:val="Balloon Text"/>
    <w:basedOn w:val="Normal"/>
    <w:link w:val="BalloonTextChar"/>
    <w:uiPriority w:val="99"/>
    <w:semiHidden/>
    <w:unhideWhenUsed/>
    <w:rsid w:val="00FD35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511"/>
    <w:rPr>
      <w:rFonts w:ascii="Segoe UI" w:hAnsi="Segoe UI" w:cs="Segoe UI"/>
      <w:sz w:val="18"/>
      <w:szCs w:val="18"/>
    </w:rPr>
  </w:style>
  <w:style w:type="character" w:styleId="Hyperlink">
    <w:name w:val="Hyperlink"/>
    <w:basedOn w:val="DefaultParagraphFont"/>
    <w:uiPriority w:val="99"/>
    <w:unhideWhenUsed/>
    <w:rsid w:val="00E0536A"/>
    <w:rPr>
      <w:color w:val="0563C1" w:themeColor="hyperlink"/>
      <w:u w:val="single"/>
    </w:rPr>
  </w:style>
  <w:style w:type="character" w:styleId="FollowedHyperlink">
    <w:name w:val="FollowedHyperlink"/>
    <w:basedOn w:val="DefaultParagraphFont"/>
    <w:uiPriority w:val="99"/>
    <w:semiHidden/>
    <w:unhideWhenUsed/>
    <w:rsid w:val="00E0536A"/>
    <w:rPr>
      <w:color w:val="954F72" w:themeColor="followedHyperlink"/>
      <w:u w:val="single"/>
    </w:rPr>
  </w:style>
  <w:style w:type="paragraph" w:styleId="Revision">
    <w:name w:val="Revision"/>
    <w:hidden/>
    <w:uiPriority w:val="99"/>
    <w:semiHidden/>
    <w:rsid w:val="0004445F"/>
    <w:pPr>
      <w:spacing w:after="0" w:line="240" w:lineRule="auto"/>
    </w:pPr>
  </w:style>
  <w:style w:type="paragraph" w:customStyle="1" w:styleId="BodyCopy">
    <w:name w:val="Body Copy"/>
    <w:qFormat/>
    <w:rsid w:val="00F066A8"/>
    <w:pPr>
      <w:tabs>
        <w:tab w:val="left" w:pos="3000"/>
      </w:tabs>
      <w:spacing w:before="60" w:after="200" w:line="240" w:lineRule="auto"/>
    </w:pPr>
    <w:rPr>
      <w:rFonts w:asciiTheme="majorHAnsi" w:eastAsiaTheme="minorEastAsia" w:hAnsiTheme="majorHAnsi"/>
      <w:color w:val="595959" w:themeColor="text1" w:themeTint="A6"/>
      <w:sz w:val="21"/>
      <w:lang w:val="en-US"/>
    </w:rPr>
  </w:style>
  <w:style w:type="table" w:styleId="GridTable1Light-Accent1">
    <w:name w:val="Grid Table 1 Light Accent 1"/>
    <w:basedOn w:val="TableNormal"/>
    <w:uiPriority w:val="46"/>
    <w:rsid w:val="00F066A8"/>
    <w:pPr>
      <w:spacing w:after="0" w:line="240" w:lineRule="auto"/>
    </w:pPr>
    <w:rPr>
      <w:rFonts w:eastAsiaTheme="minorEastAsia"/>
      <w:sz w:val="24"/>
      <w:szCs w:val="24"/>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vcaa.vic.edu.au/victorianseniorsecondarycertificatereform/Pages/Index.asp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evn.cecv.catholic.edu.au/Melb/Document-File/Curriculum/Reporting/Revised-Student-Reporting-Guidelines" TargetMode="External"/><Relationship Id="rId17" Type="http://schemas.openxmlformats.org/officeDocument/2006/relationships/hyperlink" Target="http://www.vcaa.vic.edu.au/curriculum/vet/vce-vet-programs/Pages/Index.aspx" TargetMode="External"/><Relationship Id="rId2" Type="http://schemas.openxmlformats.org/officeDocument/2006/relationships/numbering" Target="numbering.xml"/><Relationship Id="rId16" Type="http://schemas.openxmlformats.org/officeDocument/2006/relationships/hyperlink" Target="https://www.vcaa.vic.edu.au/curriculum/vcal/Pages/index.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vn.cecv.catholic.edu.au/Melb/Document-File/Curriculum/Reporting/Revised-Student-Reporting-Guidelines" TargetMode="External"/><Relationship Id="rId5" Type="http://schemas.openxmlformats.org/officeDocument/2006/relationships/webSettings" Target="webSettings.xml"/><Relationship Id="rId15" Type="http://schemas.openxmlformats.org/officeDocument/2006/relationships/hyperlink" Target="http://www.vcaa.vic.edu.au/curriculum/VPC/Pages/AboutVPC.aspx" TargetMode="External"/><Relationship Id="rId10" Type="http://schemas.openxmlformats.org/officeDocument/2006/relationships/hyperlink" Target="https://cevn.cecv.catholic.edu.au/Melb/Document-File/Curriculum/Reporting/Revised-Student-Reporting-Guidel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vcaa.vic.edu.au/curriculum/vce/vce-study-designs/Pages/vce-study-design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63BFF19-AEB5-46D1-8309-7EEE642A89E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Catholic Education Melbourne</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Jennifer</dc:creator>
  <cp:keywords/>
  <dc:description/>
  <cp:lastModifiedBy>Anthony D'Amico</cp:lastModifiedBy>
  <cp:revision>2</cp:revision>
  <dcterms:created xsi:type="dcterms:W3CDTF">2026-05-20T02:57:00Z</dcterms:created>
  <dcterms:modified xsi:type="dcterms:W3CDTF">2026-05-20T02:57:00Z</dcterms:modified>
</cp:coreProperties>
</file>